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Arial" w:cs="Arial" w:eastAsia="Arial" w:hAnsi="Arial"/>
          <w:b/>
          <w:bCs/>
          <w:color w:val="1B365D"/>
          <w:sz w:val="48"/>
          <w:szCs w:val="48"/>
        </w:rPr>
        <w:t xml:space="preserve">DICTATOR</w:t>
      </w:r>
    </w:p>
    <w:p>
      <w:pPr>
        <w:spacing w:after="80"/>
      </w:pPr>
      <w:r>
        <w:rPr>
          <w:rFonts w:ascii="Arial" w:cs="Arial" w:eastAsia="Arial" w:hAnsi="Arial"/>
          <w:i/>
          <w:iCs/>
          <w:color w:val="0F5C6B"/>
          <w:sz w:val="22"/>
          <w:szCs w:val="22"/>
        </w:rPr>
        <w:t xml:space="preserve">dictation  +  OR</w:t>
      </w:r>
    </w:p>
    <w:p>
      <w:pPr>
        <w:spacing w:after="240" w:before="0" w:line="276"/>
      </w:pPr>
      <w:r>
        <w:rPr>
          <w:rFonts w:ascii="Arial" w:cs="Arial" w:eastAsia="Arial" w:hAnsi="Arial"/>
          <w:b/>
          <w:bCs/>
          <w:color w:val="1B365D"/>
          <w:sz w:val="28"/>
          <w:szCs w:val="28"/>
        </w:rPr>
        <w:t xml:space="preserve">The diagnostic twin that decides who deserves the surgeon.</w:t>
      </w:r>
    </w:p>
    <w:p>
      <w:pPr>
        <w:spacing w:after="80" w:before="0" w:line="276"/>
      </w:pPr>
      <w:r>
        <w:rPr>
          <w:rFonts w:ascii="Arial" w:cs="Arial" w:eastAsia="Arial" w:hAnsi="Arial"/>
          <w:color w:val="5C6770"/>
          <w:sz w:val="20"/>
          <w:szCs w:val="20"/>
        </w:rPr>
        <w:t>Investor business plan  ·  Confidential  ·  Revised September 13, 2026</w:t>
      </w:r>
    </w:p>
    <w:p>
      <w:pPr>
        <w:spacing w:after="80" w:before="0" w:line="276"/>
      </w:pPr>
      <w:r>
        <w:rPr>
          <w:rFonts w:ascii="Arial" w:hAnsi="Arial" w:eastAsia="Arial"/>
          <w:i w:val="0"/>
          <w:color w:val="5C6770"/>
          <w:sz w:val="20"/>
        </w:rPr>
        <w:t>Working domain: dictat-or.com    ·    BPD: Co-founder &amp; CEO    ·    HRS: Co-founder &amp; CTO</w:t>
      </w:r>
    </w:p>
    <w:p>
      <w:pPr>
        <w:spacing w:after="280" w:before="0" w:line="276"/>
      </w:pPr>
      <w:r>
        <w:rPr>
          <w:rFonts w:ascii="Arial" w:cs="Arial" w:eastAsia="Arial" w:hAnsi="Arial"/>
          <w:color w:val="5C6770"/>
          <w:sz w:val="20"/>
          <w:szCs w:val="20"/>
        </w:rPr>
        <w:t xml:space="preserve">Status: pre-product  ·  Pilot on de-identified notes  ·  No live PHI until BAAs are in place</w:t>
      </w:r>
    </w:p>
    <w:p>
      <w:pPr>
        <w:spacing w:after="80" w:before="0" w:line="276"/>
      </w:pPr>
      <w:r>
        <w:rPr>
          <w:rFonts w:ascii="Arial" w:cs="Arial" w:eastAsia="Arial" w:hAnsi="Arial"/>
          <w:b/>
          <w:bCs/>
          <w:color w:val="0F5C6B"/>
          <w:sz w:val="22"/>
          <w:szCs w:val="22"/>
        </w:rPr>
        <w:t xml:space="preserve">One-line pitch</w:t>
      </w:r>
    </w:p>
    <w:p>
      <w:pPr>
        <w:spacing w:after="160" w:before="0" w:line="276"/>
      </w:pPr>
      <w:r>
        <w:rPr>
          <w:rFonts w:ascii="Arial" w:cs="Arial" w:eastAsia="Arial" w:hAnsi="Arial"/>
          <w:color w:val="2C3338"/>
          <w:sz w:val="22"/>
          <w:szCs w:val="22"/>
        </w:rPr>
        <w:t xml:space="preserve">DictatOR learns how an individual orthopedic surgeon already decides operate-versus-not from that surgeon’s own prior dictations, then sits in front of clinic and keeps non-operative patients off the calendar — so the surgeon spends time in the OR, not in a waiting room full of people they would never operate on.</w:t>
      </w:r>
    </w:p>
    <w:p>
      <w:pPr>
        <w:pStyle w:val="Heading1"/>
        <w:pBdr>
          <w:bottom w:val="single" w:color="0F5C6B" w:sz="12" w:space="6"/>
        </w:pBdr>
        <w:spacing w:after="160" w:before="360"/>
      </w:pPr>
      <w:r>
        <w:rPr>
          <w:rFonts w:ascii="Arial" w:cs="Arial" w:eastAsia="Arial" w:hAnsi="Arial"/>
          <w:b/>
          <w:bCs/>
          <w:color w:val="1B365D"/>
          <w:sz w:val="28"/>
          <w:szCs w:val="28"/>
        </w:rPr>
        <w:t xml:space="preserve">1. The problem</w:t>
      </w:r>
    </w:p>
    <w:p>
      <w:pPr>
        <w:spacing w:after="160" w:before="0" w:line="276"/>
      </w:pPr>
      <w:r>
        <w:rPr>
          <w:rFonts w:ascii="Arial" w:cs="Arial" w:eastAsia="Arial" w:hAnsi="Arial"/>
          <w:color w:val="2C3338"/>
          <w:sz w:val="22"/>
          <w:szCs w:val="22"/>
        </w:rPr>
        <w:t xml:space="preserve">An orthopedic surgeon’s highest-ROI hour is in the operating room. A large share of new-patient clinic is the opposite: osteoarthritis, back pain, sprains, and “my PCP told me to see ortho” visits that will never become an operation. That is the surgeon’s largest block of non-value-added time.</w:t>
      </w:r>
    </w:p>
    <w:p>
      <w:pPr>
        <w:pStyle w:val="ListParagraph"/>
        <w:numPr>
          <w:ilvl w:val="0"/>
          <w:numId w:val="2"/>
        </w:numPr>
        <w:spacing w:after="80" w:line="260"/>
      </w:pPr>
      <w:r>
        <w:rPr>
          <w:rFonts w:ascii="Arial" w:cs="Arial" w:eastAsia="Arial" w:hAnsi="Arial"/>
          <w:color w:val="2C3338"/>
          <w:sz w:val="21"/>
          <w:szCs w:val="21"/>
        </w:rPr>
        <w:t xml:space="preserve">Clinic slots are consumed by patients the surgeon would have sent to PT, injection clinic, watchful waiting, or back to primary care.</w:t>
      </w:r>
    </w:p>
    <w:p>
      <w:pPr>
        <w:pStyle w:val="ListParagraph"/>
        <w:numPr>
          <w:ilvl w:val="0"/>
          <w:numId w:val="2"/>
        </w:numPr>
        <w:spacing w:after="80" w:line="260"/>
      </w:pPr>
      <w:r>
        <w:rPr>
          <w:rFonts w:ascii="Arial" w:cs="Arial" w:eastAsia="Arial" w:hAnsi="Arial"/>
          <w:color w:val="2C3338"/>
          <w:sz w:val="21"/>
          <w:szCs w:val="21"/>
        </w:rPr>
        <w:t xml:space="preserve">Generic AI scribes write notes. They do not decide who belongs in front of that surgeon.</w:t>
      </w:r>
    </w:p>
    <w:p>
      <w:pPr>
        <w:pStyle w:val="ListParagraph"/>
        <w:numPr>
          <w:ilvl w:val="0"/>
          <w:numId w:val="2"/>
        </w:numPr>
        <w:spacing w:after="80" w:line="260"/>
      </w:pPr>
      <w:r>
        <w:rPr>
          <w:rFonts w:ascii="Arial" w:cs="Arial" w:eastAsia="Arial" w:hAnsi="Arial"/>
          <w:color w:val="2C3338"/>
          <w:sz w:val="21"/>
          <w:szCs w:val="21"/>
        </w:rPr>
        <w:t xml:space="preserve">Generic symptom checkers and nurse triage use a textbook threshold, not Dr. X’s threshold.</w:t>
      </w:r>
    </w:p>
    <w:p>
      <w:pPr>
        <w:pStyle w:val="ListParagraph"/>
        <w:numPr>
          <w:ilvl w:val="0"/>
          <w:numId w:val="2"/>
        </w:numPr>
        <w:spacing w:after="80" w:line="260"/>
      </w:pPr>
      <w:r>
        <w:rPr>
          <w:rFonts w:ascii="Arial" w:cs="Arial" w:eastAsia="Arial" w:hAnsi="Arial"/>
          <w:color w:val="2C3338"/>
          <w:sz w:val="21"/>
          <w:szCs w:val="21"/>
        </w:rPr>
        <w:t xml:space="preserve">Residents, PAs, and call centers filter poorly. The attending still re-does the judgment.</w:t>
      </w:r>
    </w:p>
    <w:p>
      <w:pPr>
        <w:pStyle w:val="ListParagraph"/>
        <w:numPr>
          <w:ilvl w:val="0"/>
          <w:numId w:val="2"/>
        </w:numPr>
        <w:spacing w:after="80" w:line="260"/>
      </w:pPr>
      <w:r>
        <w:rPr>
          <w:rFonts w:ascii="Arial" w:cs="Arial" w:eastAsia="Arial" w:hAnsi="Arial"/>
          <w:color w:val="2C3338"/>
          <w:sz w:val="21"/>
          <w:szCs w:val="21"/>
        </w:rPr>
        <w:t xml:space="preserve">Patients already try to skip the line — they Google at midnight — and then still wait months for a visit they may not need.</w:t>
      </w:r>
    </w:p>
    <w:p>
      <w:pPr>
        <w:spacing w:after="160" w:before="0" w:line="276"/>
      </w:pPr>
      <w:r>
        <w:rPr>
          <w:rFonts w:ascii="Arial" w:cs="Arial" w:eastAsia="Arial" w:hAnsi="Arial"/>
          <w:color w:val="2C3338"/>
          <w:sz w:val="22"/>
          <w:szCs w:val="22"/>
        </w:rPr>
        <w:t xml:space="preserve">The waste is two-sided. The surgeon loses OR capacity. The patient loses weeks in a queue for a visit that was never going to end in surgery.</w:t>
      </w:r>
    </w:p>
    <w:p>
      <w:pPr>
        <w:pStyle w:val="Heading1"/>
        <w:pBdr>
          <w:bottom w:val="single" w:color="0F5C6B" w:sz="12" w:space="6"/>
        </w:pBdr>
        <w:spacing w:after="160" w:before="360"/>
      </w:pPr>
      <w:r>
        <w:rPr>
          <w:rFonts w:ascii="Arial" w:cs="Arial" w:eastAsia="Arial" w:hAnsi="Arial"/>
          <w:b/>
          <w:bCs/>
          <w:color w:val="1B365D"/>
          <w:sz w:val="28"/>
          <w:szCs w:val="28"/>
        </w:rPr>
        <w:t xml:space="preserve">2. The insight</w:t>
      </w:r>
    </w:p>
    <w:p>
      <w:pPr>
        <w:spacing w:after="160" w:before="0" w:line="276"/>
      </w:pPr>
      <w:r>
        <w:rPr>
          <w:rFonts w:ascii="Arial" w:cs="Arial" w:eastAsia="Arial" w:hAnsi="Arial"/>
          <w:color w:val="2C3338"/>
          <w:sz w:val="22"/>
          <w:szCs w:val="22"/>
        </w:rPr>
        <w:t xml:space="preserve">The decision already exists, in the surgeon’s old dictations. Those notes are not just prose. They are the call: operate, inject, PT, watch, not my problem. DictatOR treats that corpus as the source of truth for a personalized diagnostic twin.</w:t>
      </w:r>
    </w:p>
    <w:p>
      <w:pPr>
        <w:spacing w:after="160" w:before="0" w:line="276"/>
      </w:pPr>
      <w:r>
        <w:rPr>
          <w:rFonts w:ascii="Arial" w:cs="Arial" w:eastAsia="Arial" w:hAnsi="Arial"/>
          <w:color w:val="2C3338"/>
          <w:sz w:val="22"/>
          <w:szCs w:val="22"/>
        </w:rPr>
        <w:t xml:space="preserve">Care is moving off campus. The winners will not be the groups with the nicest ambient scribe. The winners will own who gets a surgeon and who gets a protocol.</w:t>
      </w:r>
    </w:p>
    <w:p>
      <w:pPr>
        <w:spacing w:after="160" w:before="0" w:line="276"/>
      </w:pPr>
      <w:r>
        <w:rPr>
          <w:rFonts w:ascii="Arial" w:cs="Arial" w:eastAsia="Arial" w:hAnsi="Arial"/>
          <w:color w:val="2C3338"/>
          <w:sz w:val="22"/>
          <w:szCs w:val="22"/>
        </w:rPr>
        <w:t xml:space="preserve">Pitch line we will use with surgeons: “Your OR stays full. Your waiting room doesn’t.”</w:t>
      </w:r>
    </w:p>
    <w:p>
      <w:pPr>
        <w:pStyle w:val="Heading1"/>
        <w:pBdr>
          <w:bottom w:val="single" w:color="0F5C6B" w:sz="12" w:space="6"/>
        </w:pBdr>
        <w:spacing w:after="160" w:before="360"/>
      </w:pPr>
      <w:r>
        <w:rPr>
          <w:rFonts w:ascii="Arial" w:cs="Arial" w:eastAsia="Arial" w:hAnsi="Arial"/>
          <w:b/>
          <w:bCs/>
          <w:color w:val="1B365D"/>
          <w:sz w:val="28"/>
          <w:szCs w:val="28"/>
        </w:rPr>
        <w:t xml:space="preserve">3. The product</w:t>
      </w:r>
    </w:p>
    <w:p>
      <w:pPr>
        <w:pStyle w:val="Heading2"/>
        <w:spacing w:after="120" w:before="280"/>
      </w:pPr>
      <w:r>
        <w:rPr>
          <w:rFonts w:ascii="Arial" w:cs="Arial" w:eastAsia="Arial" w:hAnsi="Arial"/>
          <w:b/>
          <w:bCs/>
          <w:color w:val="0F5C6B"/>
          <w:sz w:val="24"/>
          <w:szCs w:val="24"/>
        </w:rPr>
        <w:t xml:space="preserve">What it is</w:t>
      </w:r>
    </w:p>
    <w:p>
      <w:pPr>
        <w:spacing w:after="160" w:before="0" w:line="276"/>
      </w:pPr>
      <w:r>
        <w:rPr>
          <w:rFonts w:ascii="Arial" w:cs="Arial" w:eastAsia="Arial" w:hAnsi="Arial"/>
          <w:color w:val="2C3338"/>
          <w:sz w:val="22"/>
          <w:szCs w:val="22"/>
        </w:rPr>
        <w:t xml:space="preserve">A surgeon-specific diagnostic twin. Not a scribe. Not generic OrthoAI. Not implant planning. The twin proposes a working call in that surgeon’s own words. The surgeon teaches it, corrects it, and signs anything that becomes medical advice.</w:t>
      </w:r>
    </w:p>
    <w:p>
      <w:pPr>
        <w:pStyle w:val="Heading2"/>
        <w:spacing w:after="120" w:before="280"/>
      </w:pPr>
      <w:r>
        <w:rPr>
          <w:rFonts w:ascii="Arial" w:cs="Arial" w:eastAsia="Arial" w:hAnsi="Arial"/>
          <w:b/>
          <w:bCs/>
          <w:color w:val="0F5C6B"/>
          <w:sz w:val="24"/>
          <w:szCs w:val="24"/>
        </w:rPr>
        <w:t xml:space="preserve">Core loop</w:t>
      </w:r>
    </w:p>
    <w:p>
      <w:pPr>
        <w:pStyle w:val="ListParagraph"/>
        <w:numPr>
          <w:ilvl w:val="0"/>
          <w:numId w:val="2"/>
        </w:numPr>
        <w:spacing w:after="80" w:line="260"/>
      </w:pPr>
      <w:r>
        <w:rPr>
          <w:rFonts w:ascii="Arial" w:cs="Arial" w:eastAsia="Arial" w:hAnsi="Arial"/>
          <w:color w:val="2C3338"/>
          <w:sz w:val="21"/>
          <w:szCs w:val="21"/>
        </w:rPr>
        <w:t xml:space="preserve">Teach — Ingest that surgeon’s prior clinic and operative dictations. The surgeon attests: “I stand behind this call.” Attested notes are the only training signal that matters.</w:t>
      </w:r>
    </w:p>
    <w:p>
      <w:pPr>
        <w:pStyle w:val="ListParagraph"/>
        <w:numPr>
          <w:ilvl w:val="0"/>
          <w:numId w:val="2"/>
        </w:numPr>
        <w:spacing w:after="80" w:line="260"/>
      </w:pPr>
      <w:r>
        <w:rPr>
          <w:rFonts w:ascii="Arial" w:cs="Arial" w:eastAsia="Arial" w:hAnsi="Arial"/>
          <w:color w:val="2C3338"/>
          <w:sz w:val="21"/>
          <w:szCs w:val="21"/>
        </w:rPr>
        <w:t xml:space="preserve">Propose — New case in (symptoms, history, imaging text, priors). The twin returns one working call plus a short differential, written in their phrasing, with the matching old notes cited.</w:t>
      </w:r>
    </w:p>
    <w:p>
      <w:pPr>
        <w:pStyle w:val="ListParagraph"/>
        <w:numPr>
          <w:ilvl w:val="0"/>
          <w:numId w:val="2"/>
        </w:numPr>
        <w:spacing w:after="80" w:line="260"/>
      </w:pPr>
      <w:r>
        <w:rPr>
          <w:rFonts w:ascii="Arial" w:cs="Arial" w:eastAsia="Arial" w:hAnsi="Arial"/>
          <w:color w:val="2C3338"/>
          <w:sz w:val="21"/>
          <w:szCs w:val="21"/>
        </w:rPr>
        <w:t xml:space="preserve">Speak — The surgeon accepts, or dictates a 10-second correction in their own words. That utterance is the call.</w:t>
      </w:r>
    </w:p>
    <w:p>
      <w:pPr>
        <w:pStyle w:val="ListParagraph"/>
        <w:numPr>
          <w:ilvl w:val="0"/>
          <w:numId w:val="2"/>
        </w:numPr>
        <w:spacing w:after="80" w:line="260"/>
      </w:pPr>
      <w:r>
        <w:rPr>
          <w:rFonts w:ascii="Arial" w:cs="Arial" w:eastAsia="Arial" w:hAnsi="Arial"/>
          <w:color w:val="2C3338"/>
          <w:sz w:val="21"/>
          <w:szCs w:val="21"/>
        </w:rPr>
        <w:t xml:space="preserve">Sign — Only signed text becomes the legal statement. Unsigned model text never enters a chart as a diagnosis.</w:t>
      </w:r>
    </w:p>
    <w:p>
      <w:pPr>
        <w:pStyle w:val="Heading2"/>
        <w:spacing w:after="120" w:before="280"/>
      </w:pPr>
      <w:r>
        <w:rPr>
          <w:rFonts w:ascii="Arial" w:cs="Arial" w:eastAsia="Arial" w:hAnsi="Arial"/>
          <w:b/>
          <w:bCs/>
          <w:color w:val="0F5C6B"/>
          <w:sz w:val="24"/>
          <w:szCs w:val="24"/>
        </w:rPr>
        <w:t xml:space="preserve">The wedge</w:t>
      </w:r>
    </w:p>
    <w:p>
      <w:pPr>
        <w:spacing w:after="160" w:before="0" w:line="276"/>
      </w:pPr>
      <w:r>
        <w:rPr>
          <w:rFonts w:ascii="Arial" w:cs="Arial" w:eastAsia="Arial" w:hAnsi="Arial"/>
          <w:color w:val="2C3338"/>
          <w:sz w:val="22"/>
          <w:szCs w:val="22"/>
        </w:rPr>
        <w:t xml:space="preserve">A surgery filter sitting in front of clinic. The twin answers one question in that surgeon’s terms: surgical candidate or not. Not surgical: path in the surgeon’s words, no slot burned. Surgical or unclear: book. When unsure, book. Never dismiss.</w:t>
      </w:r>
    </w:p>
    <w:p>
      <w:pPr>
        <w:pStyle w:val="Heading2"/>
        <w:spacing w:after="120" w:before="280"/>
      </w:pPr>
      <w:r>
        <w:rPr>
          <w:rFonts w:ascii="Arial" w:cs="Arial" w:eastAsia="Arial" w:hAnsi="Arial"/>
          <w:b/>
          <w:bCs/>
          <w:color w:val="0F5C6B"/>
          <w:sz w:val="24"/>
          <w:szCs w:val="24"/>
        </w:rPr>
        <w:t xml:space="preserve">What we will not build in v1</w:t>
      </w:r>
    </w:p>
    <w:p>
      <w:pPr>
        <w:pStyle w:val="ListParagraph"/>
        <w:numPr>
          <w:ilvl w:val="0"/>
          <w:numId w:val="2"/>
        </w:numPr>
        <w:spacing w:after="80" w:line="260"/>
      </w:pPr>
      <w:r>
        <w:rPr>
          <w:rFonts w:ascii="Arial" w:cs="Arial" w:eastAsia="Arial" w:hAnsi="Arial"/>
          <w:color w:val="2C3338"/>
          <w:sz w:val="21"/>
          <w:szCs w:val="21"/>
        </w:rPr>
        <w:t xml:space="preserve">Ambient scribe, implant planning, generic chatbot, or an autonomous diagnosis vending machine.</w:t>
      </w:r>
    </w:p>
    <w:p>
      <w:pPr>
        <w:pStyle w:val="Heading1"/>
        <w:pBdr>
          <w:bottom w:val="single" w:color="0F5C6B" w:sz="12" w:space="6"/>
        </w:pBdr>
        <w:spacing w:after="160" w:before="360"/>
      </w:pPr>
      <w:r>
        <w:rPr>
          <w:rFonts w:ascii="Arial" w:cs="Arial" w:eastAsia="Arial" w:hAnsi="Arial"/>
          <w:b/>
          <w:bCs/>
          <w:color w:val="1B365D"/>
          <w:sz w:val="28"/>
          <w:szCs w:val="28"/>
        </w:rPr>
        <w:t xml:space="preserve">4. Patient fee and visit credit</w:t>
      </w:r>
    </w:p>
    <w:p>
      <w:pPr>
        <w:spacing w:after="160" w:before="0" w:line="276"/>
      </w:pPr>
      <w:r>
        <w:rPr>
          <w:rFonts w:ascii="Arial" w:cs="Arial" w:eastAsia="Arial" w:hAnsi="Arial"/>
          <w:color w:val="2C3338"/>
          <w:sz w:val="22"/>
          <w:szCs w:val="22"/>
        </w:rPr>
        <w:t xml:space="preserve">Yes — charge the patient a little, and credit it back if they complete a visit. That is how we get buy-in without selling a fake visit.</w:t>
      </w:r>
    </w:p>
    <w:p>
      <w:pPr>
        <w:pStyle w:val="Heading2"/>
        <w:spacing w:after="120" w:before="280"/>
      </w:pPr>
      <w:r>
        <w:rPr>
          <w:rFonts w:ascii="Arial" w:cs="Arial" w:eastAsia="Arial" w:hAnsi="Arial"/>
          <w:b/>
          <w:bCs/>
          <w:color w:val="0F5C6B"/>
          <w:sz w:val="24"/>
          <w:szCs w:val="24"/>
        </w:rPr>
        <w:t xml:space="preserve">How it works</w:t>
      </w:r>
    </w:p>
    <w:p>
      <w:pPr>
        <w:pStyle w:val="ListParagraph"/>
        <w:numPr>
          <w:ilvl w:val="0"/>
          <w:numId w:val="2"/>
        </w:numPr>
        <w:spacing w:after="80" w:line="260"/>
      </w:pPr>
      <w:r>
        <w:rPr>
          <w:rFonts w:ascii="Arial" w:cs="Arial" w:eastAsia="Arial" w:hAnsi="Arial"/>
          <w:color w:val="2C3338"/>
          <w:sz w:val="21"/>
          <w:szCs w:val="21"/>
        </w:rPr>
        <w:t xml:space="preserve">Patient pays $9–19 cash at the door. No insurance claim. No Medicare claim.</w:t>
      </w:r>
    </w:p>
    <w:p>
      <w:pPr>
        <w:pStyle w:val="ListParagraph"/>
        <w:numPr>
          <w:ilvl w:val="0"/>
          <w:numId w:val="2"/>
        </w:numPr>
        <w:spacing w:after="80" w:line="260"/>
      </w:pPr>
      <w:r>
        <w:rPr>
          <w:rFonts w:ascii="Arial" w:cs="Arial" w:eastAsia="Arial" w:hAnsi="Arial"/>
          <w:color w:val="2C3338"/>
          <w:sz w:val="21"/>
          <w:szCs w:val="21"/>
        </w:rPr>
        <w:t xml:space="preserve">The fee is a commitment device. Free tools get junk input. Paid tools get a real history.</w:t>
      </w:r>
    </w:p>
    <w:p>
      <w:pPr>
        <w:pStyle w:val="ListParagraph"/>
        <w:numPr>
          <w:ilvl w:val="0"/>
          <w:numId w:val="2"/>
        </w:numPr>
        <w:spacing w:after="80" w:line="260"/>
      </w:pPr>
      <w:r>
        <w:rPr>
          <w:rFonts w:ascii="Arial" w:hAnsi="Arial" w:eastAsia="Arial"/>
          <w:b w:val="0"/>
          <w:color w:val="2C3338"/>
          <w:sz w:val="22"/>
        </w:rPr>
        <w:t>If they book and keep an appointment, the practice may knock $19 off its own visit charge. That discount is the practice’s. DictatOR does not refund and does not credit the surgeon’s invoice.</w:t>
      </w:r>
    </w:p>
    <w:p>
      <w:pPr>
        <w:pStyle w:val="ListParagraph"/>
        <w:numPr>
          <w:ilvl w:val="0"/>
          <w:numId w:val="2"/>
        </w:numPr>
        <w:spacing w:after="80" w:line="260"/>
      </w:pPr>
      <w:r>
        <w:rPr>
          <w:rFonts w:ascii="Arial" w:cs="Arial" w:eastAsia="Arial" w:hAnsi="Arial"/>
          <w:color w:val="2C3338"/>
          <w:sz w:val="21"/>
          <w:szCs w:val="21"/>
        </w:rPr>
        <w:t xml:space="preserve">If they are routed non-op and never book, the fee stays earned. They bought triage and a protocol, not a doctor.</w:t>
      </w:r>
    </w:p>
    <w:p>
      <w:pPr>
        <w:pStyle w:val="ListParagraph"/>
        <w:numPr>
          <w:ilvl w:val="0"/>
          <w:numId w:val="2"/>
        </w:numPr>
        <w:spacing w:after="80" w:line="260"/>
      </w:pPr>
      <w:r>
        <w:rPr>
          <w:rFonts w:ascii="Arial" w:cs="Arial" w:eastAsia="Arial" w:hAnsi="Arial"/>
          <w:color w:val="2C3338"/>
          <w:sz w:val="21"/>
          <w:szCs w:val="21"/>
        </w:rPr>
        <w:t xml:space="preserve">If they no-show the booked visit, the credit dies. We do not subsidize no-shows.</w:t>
      </w:r>
    </w:p>
    <w:p>
      <w:pPr>
        <w:pStyle w:val="Heading2"/>
        <w:spacing w:after="120" w:before="280"/>
      </w:pPr>
      <w:r>
        <w:rPr>
          <w:rFonts w:ascii="Arial" w:cs="Arial" w:eastAsia="Arial" w:hAnsi="Arial"/>
          <w:b/>
          <w:bCs/>
          <w:color w:val="0F5C6B"/>
          <w:sz w:val="24"/>
          <w:szCs w:val="24"/>
        </w:rPr>
        <w:t xml:space="preserve">Who eats the credit</w:t>
      </w:r>
    </w:p>
    <w:p>
      <w:pPr>
        <w:spacing w:after="160" w:before="0" w:line="276"/>
      </w:pPr>
      <w:r>
        <w:rPr>
          <w:rFonts w:ascii="Arial" w:hAnsi="Arial" w:eastAsia="Arial"/>
          <w:b w:val="0"/>
          <w:color w:val="2C3338"/>
          <w:sz w:val="22"/>
        </w:rPr>
        <w:t>Policy: DictatOR keeps 100% of the $9–19. It is product revenue for the filter, not a deposit on a visit. The practice already receives the lead and the monthly seat. If a surgeon refuses to launch without a patient credit, a time-boxed promo only — first 90 days — then it dies.</w:t>
      </w:r>
    </w:p>
    <w:p>
      <w:pPr>
        <w:spacing w:after="160" w:before="0" w:line="276"/>
      </w:pPr>
      <w:r>
        <w:rPr>
          <w:rFonts w:ascii="Arial" w:cs="Arial" w:eastAsia="Arial" w:hAnsi="Arial"/>
          <w:color w:val="2C3338"/>
          <w:sz w:val="22"/>
          <w:szCs w:val="22"/>
        </w:rPr>
        <w:t xml:space="preserve">We do not let the $19 become “the diagnosis.” The receipt says access / triage. The visit is still the care.</w:t>
      </w:r>
    </w:p>
    <w:p>
      <w:pPr>
        <w:pStyle w:val="Heading1"/>
        <w:pBdr>
          <w:bottom w:val="single" w:color="0F5C6B" w:sz="12" w:space="6"/>
        </w:pBdr>
        <w:spacing w:after="160" w:before="360"/>
      </w:pPr>
      <w:r>
        <w:rPr>
          <w:rFonts w:ascii="Arial" w:cs="Arial" w:eastAsia="Arial" w:hAnsi="Arial"/>
          <w:b/>
          <w:bCs/>
          <w:color w:val="1B365D"/>
          <w:sz w:val="28"/>
          <w:szCs w:val="28"/>
        </w:rPr>
        <w:t xml:space="preserve">5. Apple ID and Apple Health</w:t>
      </w:r>
    </w:p>
    <w:p>
      <w:pPr>
        <w:spacing w:after="160" w:before="0" w:line="276"/>
      </w:pPr>
      <w:r>
        <w:rPr>
          <w:rFonts w:ascii="Arial" w:cs="Arial" w:eastAsia="Arial" w:hAnsi="Arial"/>
          <w:color w:val="2C3338"/>
          <w:sz w:val="22"/>
          <w:szCs w:val="22"/>
        </w:rPr>
        <w:t xml:space="preserve">Apple is not a payer and not a partner we wait on. It is the consumer rail for identity and consented body data. It belongs in the patient door, not in the OR.</w:t>
      </w:r>
    </w:p>
    <w:p>
      <w:pPr>
        <w:pStyle w:val="Heading2"/>
        <w:spacing w:after="120" w:before="280"/>
      </w:pPr>
      <w:r>
        <w:rPr>
          <w:rFonts w:ascii="Arial" w:cs="Arial" w:eastAsia="Arial" w:hAnsi="Arial"/>
          <w:b/>
          <w:bCs/>
          <w:color w:val="0F5C6B"/>
          <w:sz w:val="24"/>
          <w:szCs w:val="24"/>
        </w:rPr>
        <w:t xml:space="preserve">Apple ID / Sign in with Apple</w:t>
      </w:r>
    </w:p>
    <w:p>
      <w:pPr>
        <w:pStyle w:val="ListParagraph"/>
        <w:numPr>
          <w:ilvl w:val="0"/>
          <w:numId w:val="2"/>
        </w:numPr>
        <w:spacing w:after="80" w:line="260"/>
      </w:pPr>
      <w:r>
        <w:rPr>
          <w:rFonts w:ascii="Arial" w:cs="Arial" w:eastAsia="Arial" w:hAnsi="Arial"/>
          <w:color w:val="2C3338"/>
          <w:sz w:val="21"/>
          <w:szCs w:val="21"/>
        </w:rPr>
        <w:t xml:space="preserve">Patient account without inventing another password. Better completion than email+password on a $19 flow.</w:t>
      </w:r>
    </w:p>
    <w:p>
      <w:pPr>
        <w:pStyle w:val="ListParagraph"/>
        <w:numPr>
          <w:ilvl w:val="0"/>
          <w:numId w:val="2"/>
        </w:numPr>
        <w:spacing w:after="80" w:line="260"/>
      </w:pPr>
      <w:r>
        <w:rPr>
          <w:rFonts w:ascii="Arial" w:cs="Arial" w:eastAsia="Arial" w:hAnsi="Arial"/>
          <w:color w:val="2C3338"/>
          <w:sz w:val="21"/>
          <w:szCs w:val="21"/>
        </w:rPr>
        <w:t xml:space="preserve">Stable identifier across iPhone and web. Hide-my-email is fine for the door; the practice gets a real identity only when they book.</w:t>
      </w:r>
    </w:p>
    <w:p>
      <w:pPr>
        <w:pStyle w:val="ListParagraph"/>
        <w:numPr>
          <w:ilvl w:val="0"/>
          <w:numId w:val="2"/>
        </w:numPr>
        <w:spacing w:after="80" w:line="260"/>
      </w:pPr>
      <w:r>
        <w:rPr>
          <w:rFonts w:ascii="Arial" w:cs="Arial" w:eastAsia="Arial" w:hAnsi="Arial"/>
          <w:color w:val="2C3338"/>
          <w:sz w:val="21"/>
          <w:szCs w:val="21"/>
        </w:rPr>
        <w:t xml:space="preserve">App Store distribution for the iOS client when we leave the browser.</w:t>
      </w:r>
    </w:p>
    <w:p>
      <w:pPr>
        <w:pStyle w:val="Heading2"/>
        <w:spacing w:after="120" w:before="280"/>
      </w:pPr>
      <w:r>
        <w:rPr>
          <w:rFonts w:ascii="Arial" w:cs="Arial" w:eastAsia="Arial" w:hAnsi="Arial"/>
          <w:b/>
          <w:bCs/>
          <w:color w:val="0F5C6B"/>
          <w:sz w:val="24"/>
          <w:szCs w:val="24"/>
        </w:rPr>
        <w:t xml:space="preserve">Apple Health / HealthKit</w:t>
      </w:r>
    </w:p>
    <w:p>
      <w:pPr>
        <w:pStyle w:val="ListParagraph"/>
        <w:numPr>
          <w:ilvl w:val="0"/>
          <w:numId w:val="2"/>
        </w:numPr>
        <w:spacing w:after="80" w:line="260"/>
      </w:pPr>
      <w:r>
        <w:rPr>
          <w:rFonts w:ascii="Arial" w:cs="Arial" w:eastAsia="Arial" w:hAnsi="Arial"/>
          <w:color w:val="2C3338"/>
          <w:sz w:val="21"/>
          <w:szCs w:val="21"/>
        </w:rPr>
        <w:t xml:space="preserve">With the patient’s tap, pull walking steadiness, steps, mobility, heart-rate context, medications they already logged, and (where available) clinical records they imported.</w:t>
      </w:r>
    </w:p>
    <w:p>
      <w:pPr>
        <w:pStyle w:val="ListParagraph"/>
        <w:numPr>
          <w:ilvl w:val="0"/>
          <w:numId w:val="2"/>
        </w:numPr>
        <w:spacing w:after="80" w:line="260"/>
      </w:pPr>
      <w:r>
        <w:rPr>
          <w:rFonts w:ascii="Arial" w:cs="Arial" w:eastAsia="Arial" w:hAnsi="Arial"/>
          <w:color w:val="2C3338"/>
          <w:sz w:val="21"/>
          <w:szCs w:val="21"/>
        </w:rPr>
        <w:t xml:space="preserve">That data makes the twin’s operate-versus-not call better than a web form, and it is how care is actually changing: the phone is the pre-visit chart.</w:t>
      </w:r>
    </w:p>
    <w:p>
      <w:pPr>
        <w:pStyle w:val="ListParagraph"/>
        <w:numPr>
          <w:ilvl w:val="0"/>
          <w:numId w:val="2"/>
        </w:numPr>
        <w:spacing w:after="80" w:line="260"/>
      </w:pPr>
      <w:r>
        <w:rPr>
          <w:rFonts w:ascii="Arial" w:cs="Arial" w:eastAsia="Arial" w:hAnsi="Arial"/>
          <w:color w:val="2C3338"/>
          <w:sz w:val="21"/>
          <w:szCs w:val="21"/>
        </w:rPr>
        <w:t xml:space="preserve">HealthKit data is still PHI once it sits on our servers. Production path requires BAA on our cloud, a posted privacy nutrition label, and HealthKit’s own privacy rules. Pilot stays manual / de-identified text. HealthKit is V1.5, not week one.</w:t>
      </w:r>
    </w:p>
    <w:p>
      <w:pPr>
        <w:pStyle w:val="Heading2"/>
        <w:spacing w:after="120" w:before="280"/>
      </w:pPr>
      <w:r>
        <w:rPr>
          <w:rFonts w:ascii="Arial" w:cs="Arial" w:eastAsia="Arial" w:hAnsi="Arial"/>
          <w:b/>
          <w:bCs/>
          <w:color w:val="0F5C6B"/>
          <w:sz w:val="24"/>
          <w:szCs w:val="24"/>
        </w:rPr>
        <w:t xml:space="preserve">What Apple is not</w:t>
      </w:r>
    </w:p>
    <w:p>
      <w:pPr>
        <w:pStyle w:val="ListParagraph"/>
        <w:numPr>
          <w:ilvl w:val="0"/>
          <w:numId w:val="2"/>
        </w:numPr>
        <w:spacing w:after="80" w:line="260"/>
      </w:pPr>
      <w:r>
        <w:rPr>
          <w:rFonts w:ascii="Arial" w:cs="Arial" w:eastAsia="Arial" w:hAnsi="Arial"/>
          <w:color w:val="2C3338"/>
          <w:sz w:val="21"/>
          <w:szCs w:val="21"/>
        </w:rPr>
        <w:t xml:space="preserve">Not a reimbursement code. Not a HIPAA covered entity doing our compliance for us. Not a distribution strategy by itself. Android / web must work or we cut off half the referrals.</w:t>
      </w:r>
    </w:p>
    <w:p>
      <w:pPr>
        <w:pStyle w:val="Heading1"/>
        <w:pBdr>
          <w:bottom w:val="single" w:color="0F5C6B" w:sz="12" w:space="6"/>
        </w:pBdr>
        <w:spacing w:after="160" w:before="360"/>
      </w:pPr>
      <w:r>
        <w:rPr>
          <w:rFonts w:ascii="Arial" w:cs="Arial" w:eastAsia="Arial" w:hAnsi="Arial"/>
          <w:b/>
          <w:bCs/>
          <w:color w:val="1B365D"/>
          <w:sz w:val="28"/>
          <w:szCs w:val="28"/>
        </w:rPr>
        <w:t xml:space="preserve">6. Why this is defensible</w:t>
      </w:r>
    </w:p>
    <w:p>
      <w:pPr>
        <w:spacing w:after="160" w:before="0" w:line="276"/>
      </w:pPr>
      <w:r>
        <w:rPr>
          <w:rFonts w:ascii="Arial" w:cs="Arial" w:eastAsia="Arial" w:hAnsi="Arial"/>
          <w:color w:val="2C3338"/>
          <w:sz w:val="22"/>
          <w:szCs w:val="22"/>
        </w:rPr>
        <w:t xml:space="preserve">Scribes and planning vendors can copy a UI. They cannot copy a surgeon’s attested dictation corpus. Each signed correction makes the twin more expensive to leave. “Diagnose like an orthopedic surgeon” is easy. “Diagnose like this surgeon, at their threshold, in their diction” is not.</w:t>
      </w:r>
    </w:p>
    <w:p>
      <w:pPr>
        <w:pStyle w:val="Heading1"/>
        <w:pBdr>
          <w:bottom w:val="single" w:color="0F5C6B" w:sz="12" w:space="6"/>
        </w:pBdr>
        <w:spacing w:after="160" w:before="360"/>
      </w:pPr>
      <w:r>
        <w:rPr>
          <w:rFonts w:ascii="Arial" w:cs="Arial" w:eastAsia="Arial" w:hAnsi="Arial"/>
          <w:b/>
          <w:bCs/>
          <w:color w:val="1B365D"/>
          <w:sz w:val="28"/>
          <w:szCs w:val="28"/>
        </w:rPr>
        <w:t xml:space="preserve">7. Market</w:t>
      </w:r>
    </w:p>
    <w:p>
      <w:pPr>
        <w:pStyle w:val="ListParagraph"/>
        <w:numPr>
          <w:ilvl w:val="0"/>
          <w:numId w:val="2"/>
        </w:numPr>
        <w:spacing w:after="80" w:line="260"/>
      </w:pPr>
      <w:r>
        <w:rPr>
          <w:rFonts w:ascii="Arial" w:cs="Arial" w:eastAsia="Arial" w:hAnsi="Arial"/>
          <w:color w:val="2C3338"/>
          <w:sz w:val="21"/>
          <w:szCs w:val="21"/>
        </w:rPr>
        <w:t xml:space="preserve">Buyer: high-volume arthroplasty, spine, and sports surgeons and their groups.</w:t>
      </w:r>
    </w:p>
    <w:p>
      <w:pPr>
        <w:pStyle w:val="ListParagraph"/>
        <w:numPr>
          <w:ilvl w:val="0"/>
          <w:numId w:val="2"/>
        </w:numPr>
        <w:spacing w:after="80" w:line="260"/>
      </w:pPr>
      <w:r>
        <w:rPr>
          <w:rFonts w:ascii="Arial" w:cs="Arial" w:eastAsia="Arial" w:hAnsi="Arial"/>
          <w:color w:val="2C3338"/>
          <w:sz w:val="21"/>
          <w:szCs w:val="21"/>
        </w:rPr>
        <w:t xml:space="preserve">Non-buyer: surgeons who live on injection volume; systems shopping one ambient scribe for every specialty.</w:t>
      </w:r>
    </w:p>
    <w:p>
      <w:pPr>
        <w:pStyle w:val="ListParagraph"/>
        <w:numPr>
          <w:ilvl w:val="0"/>
          <w:numId w:val="2"/>
        </w:numPr>
        <w:spacing w:after="80" w:line="260"/>
      </w:pPr>
      <w:r>
        <w:rPr>
          <w:rFonts w:ascii="Arial" w:cs="Arial" w:eastAsia="Arial" w:hAnsi="Arial"/>
          <w:color w:val="2C3338"/>
          <w:sz w:val="21"/>
          <w:szCs w:val="21"/>
        </w:rPr>
        <w:t xml:space="preserve">Proof the job exists: PT-first programs and nurse triage already try to do this with a generic rule. Patients already search “do I need a knee replacement” at midnight.</w:t>
      </w:r>
    </w:p>
    <w:p>
      <w:pPr>
        <w:spacing w:after="160" w:before="0" w:line="276"/>
      </w:pPr>
      <w:r>
        <w:rPr>
          <w:rFonts w:ascii="Arial" w:cs="Arial" w:eastAsia="Arial" w:hAnsi="Arial"/>
          <w:color w:val="2C3338"/>
          <w:sz w:val="22"/>
          <w:szCs w:val="22"/>
        </w:rPr>
        <w:t xml:space="preserve">If the twin clears five to eight obvious non-op visits a day, subscription is rounding error against recovered OR time — after we pay real implementation and maintenance, which we will not understate (see §11 and §14).</w:t>
      </w:r>
    </w:p>
    <w:p>
      <w:pPr>
        <w:pStyle w:val="Heading1"/>
        <w:pBdr>
          <w:bottom w:val="single" w:color="0F5C6B" w:sz="12" w:space="6"/>
        </w:pBdr>
        <w:spacing w:after="160" w:before="360"/>
      </w:pPr>
      <w:r>
        <w:rPr>
          <w:rFonts w:ascii="Arial" w:cs="Arial" w:eastAsia="Arial" w:hAnsi="Arial"/>
          <w:b/>
          <w:bCs/>
          <w:color w:val="1B365D"/>
          <w:sz w:val="28"/>
          <w:szCs w:val="28"/>
        </w:rPr>
        <w:t xml:space="preserve">8. Competition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00"/>
        <w:gridCol w:w="3300"/>
        <w:gridCol w:w="4380"/>
      </w:tblGrid>
      <w:tr>
        <w:tc>
          <w:tcPr>
            <w:tcW w:type="dxa" w:w="240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Player</w:t>
            </w:r>
          </w:p>
        </w:tc>
        <w:tc>
          <w:tcPr>
            <w:tcW w:type="dxa" w:w="330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What they are</w:t>
            </w:r>
          </w:p>
        </w:tc>
        <w:tc>
          <w:tcPr>
            <w:tcW w:type="dxa" w:w="438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Why we are not them</w:t>
            </w:r>
          </w:p>
        </w:tc>
      </w:tr>
      <w:tr>
        <w:tc>
          <w:tcPr>
            <w:tcW w:type="dxa" w:w="24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Abridge, Suki, Ambience, Mira, Eluve, OrthoScribe</w:t>
            </w:r>
          </w:p>
        </w:tc>
        <w:tc>
          <w:tcPr>
            <w:tcW w:type="dxa" w:w="33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Notes from the visit</w:t>
            </w:r>
          </w:p>
        </w:tc>
        <w:tc>
          <w:tcPr>
            <w:tcW w:type="dxa" w:w="43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They document the visit. We decide if the visit should exist.</w:t>
            </w:r>
          </w:p>
        </w:tc>
      </w:tr>
      <w:tr>
        <w:tc>
          <w:tcPr>
            <w:tcW w:type="dxa" w:w="24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PeekMed, Ortho AI, Mako / ROSA / VELYS</w:t>
            </w:r>
          </w:p>
        </w:tc>
        <w:tc>
          <w:tcPr>
            <w:tcW w:type="dxa" w:w="33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Plan the operation</w:t>
            </w:r>
          </w:p>
        </w:tc>
        <w:tc>
          <w:tcPr>
            <w:tcW w:type="dxa" w:w="43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Planning assumes the patient already belongs in surgery.</w:t>
            </w:r>
          </w:p>
        </w:tc>
      </w:tr>
      <w:tr>
        <w:tc>
          <w:tcPr>
            <w:tcW w:type="dxa" w:w="24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OrthoAI / OrthoPilot / OrthoExpert brands</w:t>
            </w:r>
          </w:p>
        </w:tc>
        <w:tc>
          <w:tcPr>
            <w:tcW w:type="dxa" w:w="33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Generic ortho tools or unrelated clinics</w:t>
            </w:r>
          </w:p>
        </w:tc>
        <w:tc>
          <w:tcPr>
            <w:tcW w:type="dxa" w:w="43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Name collision. Different job. Brand is DictatOR.</w:t>
            </w:r>
          </w:p>
        </w:tc>
      </w:tr>
      <w:tr>
        <w:tc>
          <w:tcPr>
            <w:tcW w:type="dxa" w:w="24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WebMD / symptom checkers / Apple Health check-ins</w:t>
            </w:r>
          </w:p>
        </w:tc>
        <w:tc>
          <w:tcPr>
            <w:tcW w:type="dxa" w:w="33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Textbook or consumer triage</w:t>
            </w:r>
          </w:p>
        </w:tc>
        <w:tc>
          <w:tcPr>
            <w:tcW w:type="dxa" w:w="43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No surgeon twin. No personal operate-vs-not threshold.</w:t>
            </w:r>
          </w:p>
        </w:tc>
      </w:tr>
      <w:tr>
        <w:tc>
          <w:tcPr>
            <w:tcW w:type="dxa" w:w="24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PAs, call centers, residents</w:t>
            </w:r>
          </w:p>
        </w:tc>
        <w:tc>
          <w:tcPr>
            <w:tcW w:type="dxa" w:w="33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Human filter</w:t>
            </w:r>
          </w:p>
        </w:tc>
        <w:tc>
          <w:tcPr>
            <w:tcW w:type="dxa" w:w="43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They do not scale to midnight and do not clone that attending.</w:t>
            </w:r>
          </w:p>
        </w:tc>
      </w:tr>
    </w:tbl>
    <w:p>
      <w:pPr>
        <w:spacing w:after="160" w:before="160" w:line="276"/>
      </w:pPr>
      <w:r>
        <w:rPr>
          <w:rFonts w:ascii="Arial" w:cs="Arial" w:eastAsia="Arial" w:hAnsi="Arial"/>
          <w:color w:val="2C3338"/>
          <w:sz w:val="22"/>
          <w:szCs w:val="22"/>
        </w:rPr>
        <w:t xml:space="preserve">If we look like a scribe, we get priced like a scribe and lose.</w:t>
      </w:r>
    </w:p>
    <w:p>
      <w:pPr>
        <w:pStyle w:val="Heading1"/>
        <w:pBdr>
          <w:bottom w:val="single" w:color="0F5C6B" w:sz="12" w:space="6"/>
        </w:pBdr>
        <w:spacing w:after="160" w:before="360"/>
      </w:pPr>
      <w:r>
        <w:rPr>
          <w:rFonts w:ascii="Arial" w:cs="Arial" w:eastAsia="Arial" w:hAnsi="Arial"/>
          <w:b/>
          <w:bCs/>
          <w:color w:val="1B365D"/>
          <w:sz w:val="28"/>
          <w:szCs w:val="28"/>
        </w:rPr>
        <w:t xml:space="preserve">9. Business model</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00"/>
        <w:gridCol w:w="2800"/>
        <w:gridCol w:w="4880"/>
      </w:tblGrid>
      <w:tr>
        <w:tc>
          <w:tcPr>
            <w:tcW w:type="dxa" w:w="240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Offer</w:t>
            </w:r>
          </w:p>
        </w:tc>
        <w:tc>
          <w:tcPr>
            <w:tcW w:type="dxa" w:w="280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Price</w:t>
            </w:r>
          </w:p>
        </w:tc>
        <w:tc>
          <w:tcPr>
            <w:tcW w:type="dxa" w:w="488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Includes</w:t>
            </w:r>
          </w:p>
        </w:tc>
      </w:tr>
      <w:tr>
        <w:tc>
          <w:tcPr>
            <w:tcW w:type="dxa" w:w="24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Pilot</w:t>
            </w:r>
          </w:p>
        </w:tc>
        <w:tc>
          <w:tcPr>
            <w:tcW w:type="dxa" w:w="28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$0 until holdout passes</w:t>
            </w:r>
          </w:p>
        </w:tc>
        <w:tc>
          <w:tcPr>
            <w:tcW w:type="dxa" w:w="48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De-identified notes. Success = “that’s what I would have written.”</w:t>
            </w:r>
          </w:p>
        </w:tc>
      </w:tr>
      <w:tr>
        <w:tc>
          <w:tcPr>
            <w:tcW w:type="dxa" w:w="24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Surgeon</w:t>
            </w:r>
          </w:p>
        </w:tc>
        <w:tc>
          <w:tcPr>
            <w:tcW w:type="dxa" w:w="28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$499–799 / month</w:t>
            </w:r>
          </w:p>
        </w:tc>
        <w:tc>
          <w:tcPr>
            <w:tcW w:type="dxa" w:w="48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Teach, propose, speak, sign. One twin, one corpus.</w:t>
            </w:r>
          </w:p>
        </w:tc>
      </w:tr>
      <w:tr>
        <w:tc>
          <w:tcPr>
            <w:tcW w:type="dxa" w:w="24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Implementation (real)</w:t>
            </w:r>
          </w:p>
        </w:tc>
        <w:tc>
          <w:tcPr>
            <w:tcW w:type="dxa" w:w="28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$8,000–15,000 one-time</w:t>
            </w:r>
          </w:p>
        </w:tc>
        <w:tc>
          <w:tcPr>
            <w:tcW w:type="dxa" w:w="48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Ingest, clean, attest, tune, holdout. Not a cheap setup fee.</w:t>
            </w:r>
          </w:p>
        </w:tc>
      </w:tr>
      <w:tr>
        <w:tc>
          <w:tcPr>
            <w:tcW w:type="dxa" w:w="24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Group (5–20)</w:t>
            </w:r>
          </w:p>
        </w:tc>
        <w:tc>
          <w:tcPr>
            <w:tcW w:type="dxa" w:w="28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$399 / surgeon / month</w:t>
            </w:r>
          </w:p>
        </w:tc>
        <w:tc>
          <w:tcPr>
            <w:tcW w:type="dxa" w:w="48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Separate twin per doctor. Shared admin. Impl still per corpus.</w:t>
            </w:r>
          </w:p>
        </w:tc>
      </w:tr>
      <w:tr>
        <w:tc>
          <w:tcPr>
            <w:tcW w:type="dxa" w:w="24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System / IDN</w:t>
            </w:r>
          </w:p>
        </w:tc>
        <w:tc>
          <w:tcPr>
            <w:tcW w:type="dxa" w:w="28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$80k–150k / year + impl</w:t>
            </w:r>
          </w:p>
        </w:tc>
        <w:tc>
          <w:tcPr>
            <w:tcW w:type="dxa" w:w="48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BAA, audit, EHR, legal review.</w:t>
            </w:r>
          </w:p>
        </w:tc>
      </w:tr>
      <w:tr>
        <w:tc>
          <w:tcPr>
            <w:tcW w:type="dxa" w:w="24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Patient door</w:t>
            </w:r>
          </w:p>
        </w:tc>
        <w:tc>
          <w:tcPr>
            <w:tcW w:type="dxa" w:w="28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$9–19 cash</w:t>
            </w:r>
          </w:p>
        </w:tc>
        <w:tc>
          <w:tcPr>
            <w:tcW w:type="dxa" w:w="48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hAnsi="Arial" w:eastAsia="Arial"/>
                <w:b w:val="0"/>
                <w:color w:val="2C3338"/>
                <w:sz w:val="17"/>
              </w:rPr>
              <w:t>Triage. 100% to DictatOR. Practice may discount its own visit; we do not refund.</w:t>
            </w:r>
          </w:p>
        </w:tc>
      </w:tr>
    </w:tbl>
    <w:p>
      <w:pPr>
        <w:spacing w:after="160" w:before="160" w:line="276"/>
      </w:pPr>
      <w:r>
        <w:rPr>
          <w:rFonts w:ascii="Arial" w:cs="Arial" w:eastAsia="Arial" w:hAnsi="Arial"/>
          <w:color w:val="2C3338"/>
          <w:sz w:val="22"/>
          <w:szCs w:val="22"/>
        </w:rPr>
        <w:t xml:space="preserve">Do not charge per note.</w:t>
      </w:r>
    </w:p>
    <w:p>
      <w:pPr>
        <w:spacing w:after="160" w:before="0" w:line="276"/>
      </w:pPr>
      <w:r>
        <w:rPr>
          <w:rFonts w:ascii="Arial" w:hAnsi="Arial" w:eastAsia="Arial"/>
          <w:b w:val="0"/>
          <w:color w:val="2C3338"/>
          <w:sz w:val="22"/>
        </w:rPr>
        <w:t>Target mix once live: ~70% subscription, ~15% implementation, ~15% patient-door (DictatOR keeps the $19).</w:t>
      </w:r>
    </w:p>
    <w:p>
      <w:pPr>
        <w:spacing w:before="280" w:after="120" w:line="276" w:lineRule="auto"/>
      </w:pPr>
      <w:r>
        <w:rPr>
          <w:rFonts w:ascii="Arial" w:hAnsi="Arial" w:eastAsia="Arial"/>
          <w:b/>
          <w:color w:val="0F5C6B"/>
          <w:sz w:val="24"/>
        </w:rPr>
        <w:t>Are these prices high or low?</w:t>
      </w:r>
    </w:p>
    <w:p>
      <w:pPr>
        <w:spacing w:before="0" w:after="160" w:line="276" w:lineRule="auto"/>
      </w:pPr>
      <w:r>
        <w:rPr>
          <w:rFonts w:ascii="Arial" w:hAnsi="Arial" w:eastAsia="Arial"/>
          <w:b w:val="0"/>
          <w:color w:val="2C3338"/>
          <w:sz w:val="22"/>
        </w:rPr>
        <w:t>They are estimates, not surveyed willingness-to-pay. Anchored to 2026 public comps. Verdict: the surgeon subscription is high versus a cheap scribe and in-band versus a specialty clinical tool. The patient fee is low versus a real visit. Implementation is high versus “no setup fee” scribes and normal versus healthcare software that has to be configured to a clinician.</w:t>
      </w:r>
    </w:p>
    <w:tbl>
      <w:tblPr>
        <w:tblW w:type="auto" w:w="0"/>
        <w:tblLayout w:type="autofit"/>
        <w:tblLook w:firstColumn="1" w:firstRow="1" w:lastColumn="0" w:lastRow="0" w:noHBand="0" w:noVBand="1" w:val="04A0"/>
      </w:tblPr>
      <w:tblGrid>
        <w:gridCol w:w="3360"/>
        <w:gridCol w:w="3360"/>
        <w:gridCol w:w="3360"/>
      </w:tblGrid>
      <w:tr>
        <w:tc>
          <w:tcPr>
            <w:tcW w:type="dxa" w:w="3360"/>
            <w:shd w:fill="1B365D" w:val="clear"/>
          </w:tcPr>
          <w:p>
            <w:r/>
            <w:r>
              <w:rPr>
                <w:rFonts w:ascii="Arial" w:hAnsi="Arial" w:eastAsia="Arial"/>
                <w:b/>
                <w:color w:val="FFFFFF"/>
                <w:sz w:val="18"/>
              </w:rPr>
              <w:t>Our number</w:t>
            </w:r>
          </w:p>
        </w:tc>
        <w:tc>
          <w:tcPr>
            <w:tcW w:type="dxa" w:w="3360"/>
            <w:shd w:fill="1B365D" w:val="clear"/>
          </w:tcPr>
          <w:p>
            <w:r/>
            <w:r>
              <w:rPr>
                <w:rFonts w:ascii="Arial" w:hAnsi="Arial" w:eastAsia="Arial"/>
                <w:b/>
                <w:color w:val="FFFFFF"/>
                <w:sz w:val="18"/>
              </w:rPr>
              <w:t>Comps (2026, public)</w:t>
            </w:r>
          </w:p>
        </w:tc>
        <w:tc>
          <w:tcPr>
            <w:tcW w:type="dxa" w:w="3360"/>
            <w:shd w:fill="1B365D" w:val="clear"/>
          </w:tcPr>
          <w:p>
            <w:r/>
            <w:r>
              <w:rPr>
                <w:rFonts w:ascii="Arial" w:hAnsi="Arial" w:eastAsia="Arial"/>
                <w:b/>
                <w:color w:val="FFFFFF"/>
                <w:sz w:val="18"/>
              </w:rPr>
              <w:t>Verdict</w:t>
            </w:r>
          </w:p>
        </w:tc>
      </w:tr>
      <w:tr>
        <w:tc>
          <w:tcPr>
            <w:tcW w:type="dxa" w:w="3360"/>
            <w:shd w:fill="FFFFFF" w:val="clear"/>
          </w:tcPr>
          <w:p>
            <w:r/>
            <w:r>
              <w:rPr>
                <w:rFonts w:ascii="Arial" w:hAnsi="Arial" w:eastAsia="Arial"/>
                <w:b w:val="0"/>
                <w:color w:val="2C3338"/>
                <w:sz w:val="17"/>
              </w:rPr>
              <w:t>$499–799 / surgeon / mo</w:t>
            </w:r>
          </w:p>
        </w:tc>
        <w:tc>
          <w:tcPr>
            <w:tcW w:type="dxa" w:w="3360"/>
            <w:shd w:fill="FFFFFF" w:val="clear"/>
          </w:tcPr>
          <w:p>
            <w:r/>
            <w:r>
              <w:rPr>
                <w:rFonts w:ascii="Arial" w:hAnsi="Arial" w:eastAsia="Arial"/>
                <w:b w:val="0"/>
                <w:color w:val="2C3338"/>
                <w:sz w:val="17"/>
              </w:rPr>
              <w:t>Commodity scribes $39–150. Suki $199–399. Ambience $300–450. OrthoScribe MD $500. DeepScribe / DAX ~$300–450. Human scribe $3k–6k.</w:t>
            </w:r>
          </w:p>
        </w:tc>
        <w:tc>
          <w:tcPr>
            <w:tcW w:type="dxa" w:w="3360"/>
            <w:shd w:fill="FFFFFF" w:val="clear"/>
          </w:tcPr>
          <w:p>
            <w:r/>
            <w:r>
              <w:rPr>
                <w:rFonts w:ascii="Arial" w:hAnsi="Arial" w:eastAsia="Arial"/>
                <w:b w:val="0"/>
                <w:color w:val="2C3338"/>
                <w:sz w:val="17"/>
              </w:rPr>
              <w:t>High if they think we are Freed. Fair if they think we replace wasted clinic, not typing.</w:t>
            </w:r>
          </w:p>
        </w:tc>
      </w:tr>
      <w:tr>
        <w:tc>
          <w:tcPr>
            <w:tcW w:type="dxa" w:w="3360"/>
            <w:shd w:fill="F4F7F8" w:val="clear"/>
          </w:tcPr>
          <w:p>
            <w:r/>
            <w:r>
              <w:rPr>
                <w:rFonts w:ascii="Arial" w:hAnsi="Arial" w:eastAsia="Arial"/>
                <w:b w:val="0"/>
                <w:color w:val="2C3338"/>
                <w:sz w:val="17"/>
              </w:rPr>
              <w:t>$399 / surgeon group</w:t>
            </w:r>
          </w:p>
        </w:tc>
        <w:tc>
          <w:tcPr>
            <w:tcW w:type="dxa" w:w="3360"/>
            <w:shd w:fill="F4F7F8" w:val="clear"/>
          </w:tcPr>
          <w:p>
            <w:r/>
            <w:r>
              <w:rPr>
                <w:rFonts w:ascii="Arial" w:hAnsi="Arial" w:eastAsia="Arial"/>
                <w:b w:val="0"/>
                <w:color w:val="2C3338"/>
                <w:sz w:val="17"/>
              </w:rPr>
              <w:t>Typical 20–40% seat discount.</w:t>
            </w:r>
          </w:p>
        </w:tc>
        <w:tc>
          <w:tcPr>
            <w:tcW w:type="dxa" w:w="3360"/>
            <w:shd w:fill="F4F7F8" w:val="clear"/>
          </w:tcPr>
          <w:p>
            <w:r/>
            <w:r>
              <w:rPr>
                <w:rFonts w:ascii="Arial" w:hAnsi="Arial" w:eastAsia="Arial"/>
                <w:b w:val="0"/>
                <w:color w:val="2C3338"/>
                <w:sz w:val="17"/>
              </w:rPr>
              <w:t>In band.</w:t>
            </w:r>
          </w:p>
        </w:tc>
      </w:tr>
      <w:tr>
        <w:tc>
          <w:tcPr>
            <w:tcW w:type="dxa" w:w="3360"/>
            <w:shd w:fill="FFFFFF" w:val="clear"/>
          </w:tcPr>
          <w:p>
            <w:r/>
            <w:r>
              <w:rPr>
                <w:rFonts w:ascii="Arial" w:hAnsi="Arial" w:eastAsia="Arial"/>
                <w:b w:val="0"/>
                <w:color w:val="2C3338"/>
                <w:sz w:val="17"/>
              </w:rPr>
              <w:t>$8k–15k implementation</w:t>
            </w:r>
          </w:p>
        </w:tc>
        <w:tc>
          <w:tcPr>
            <w:tcW w:type="dxa" w:w="3360"/>
            <w:shd w:fill="FFFFFF" w:val="clear"/>
          </w:tcPr>
          <w:p>
            <w:r/>
            <w:r>
              <w:rPr>
                <w:rFonts w:ascii="Arial" w:hAnsi="Arial" w:eastAsia="Arial"/>
                <w:b w:val="0"/>
                <w:color w:val="2C3338"/>
                <w:sz w:val="17"/>
              </w:rPr>
              <w:t>Scribe setup often $0–2.5k. Healthcare SaaS impl $5k–25k; one EHR hook $8k–30k.</w:t>
            </w:r>
          </w:p>
        </w:tc>
        <w:tc>
          <w:tcPr>
            <w:tcW w:type="dxa" w:w="3360"/>
            <w:shd w:fill="FFFFFF" w:val="clear"/>
          </w:tcPr>
          <w:p>
            <w:r/>
            <w:r>
              <w:rPr>
                <w:rFonts w:ascii="Arial" w:hAnsi="Arial" w:eastAsia="Arial"/>
                <w:b w:val="0"/>
                <w:color w:val="2C3338"/>
                <w:sz w:val="17"/>
              </w:rPr>
              <w:t>High vs scribes (corpus work). Not high vs clinical software.</w:t>
            </w:r>
          </w:p>
        </w:tc>
      </w:tr>
      <w:tr>
        <w:tc>
          <w:tcPr>
            <w:tcW w:type="dxa" w:w="3360"/>
            <w:shd w:fill="F4F7F8" w:val="clear"/>
          </w:tcPr>
          <w:p>
            <w:r/>
            <w:r>
              <w:rPr>
                <w:rFonts w:ascii="Arial" w:hAnsi="Arial" w:eastAsia="Arial"/>
                <w:b w:val="0"/>
                <w:color w:val="2C3338"/>
                <w:sz w:val="17"/>
              </w:rPr>
              <w:t>$9–19 patient door</w:t>
            </w:r>
          </w:p>
        </w:tc>
        <w:tc>
          <w:tcPr>
            <w:tcW w:type="dxa" w:w="3360"/>
            <w:shd w:fill="F4F7F8" w:val="clear"/>
          </w:tcPr>
          <w:p>
            <w:r/>
            <w:r>
              <w:rPr>
                <w:rFonts w:ascii="Arial" w:hAnsi="Arial" w:eastAsia="Arial"/>
                <w:b w:val="0"/>
                <w:color w:val="2C3338"/>
                <w:sz w:val="17"/>
              </w:rPr>
              <w:t>Cash ortho new visit ~$110–350 (MDsave ~$270–400). Clinic cash new patient often ~$200. Specialist copays $20–60.</w:t>
            </w:r>
          </w:p>
        </w:tc>
        <w:tc>
          <w:tcPr>
            <w:tcW w:type="dxa" w:w="3360"/>
            <w:shd w:fill="F4F7F8" w:val="clear"/>
          </w:tcPr>
          <w:p>
            <w:r/>
            <w:r>
              <w:rPr>
                <w:rFonts w:ascii="Arial" w:hAnsi="Arial" w:eastAsia="Arial"/>
                <w:b w:val="0"/>
                <w:color w:val="2C3338"/>
                <w:sz w:val="17"/>
              </w:rPr>
              <w:t>Low on purpose. 5–10% of a visit. Commitment, not a replacement visit.</w:t>
            </w:r>
          </w:p>
        </w:tc>
      </w:tr>
      <w:tr>
        <w:tc>
          <w:tcPr>
            <w:tcW w:type="dxa" w:w="3360"/>
            <w:shd w:fill="FFFFFF" w:val="clear"/>
          </w:tcPr>
          <w:p>
            <w:r/>
            <w:r>
              <w:rPr>
                <w:rFonts w:ascii="Arial" w:hAnsi="Arial" w:eastAsia="Arial"/>
                <w:b w:val="0"/>
                <w:color w:val="2C3338"/>
                <w:sz w:val="17"/>
              </w:rPr>
              <w:t>Visit credit of that $9–19</w:t>
            </w:r>
          </w:p>
        </w:tc>
        <w:tc>
          <w:tcPr>
            <w:tcW w:type="dxa" w:w="3360"/>
            <w:shd w:fill="FFFFFF" w:val="clear"/>
          </w:tcPr>
          <w:p>
            <w:r/>
            <w:r>
              <w:rPr>
                <w:rFonts w:ascii="Arial" w:hAnsi="Arial" w:eastAsia="Arial"/>
                <w:b w:val="0"/>
                <w:color w:val="2C3338"/>
                <w:sz w:val="17"/>
              </w:rPr>
              <w:t>Same order as a paid-search click or a copay.</w:t>
            </w:r>
          </w:p>
        </w:tc>
        <w:tc>
          <w:tcPr>
            <w:tcW w:type="dxa" w:w="3360"/>
            <w:shd w:fill="FFFFFF" w:val="clear"/>
          </w:tcPr>
          <w:p>
            <w:r>
              <w:rPr>
                <w:rFonts w:ascii="Arial" w:hAnsi="Arial" w:eastAsia="Arial"/>
                <w:b w:val="0"/>
                <w:color w:val="2C3338"/>
                <w:sz w:val="17"/>
              </w:rPr>
              <w:t>Not paid by DictatOR. Practice may write $19 off its own consult.</w:t>
            </w:r>
          </w:p>
        </w:tc>
      </w:tr>
      <w:tr>
        <w:tc>
          <w:tcPr>
            <w:tcW w:type="dxa" w:w="3360"/>
            <w:shd w:fill="F4F7F8" w:val="clear"/>
          </w:tcPr>
          <w:p>
            <w:r/>
            <w:r>
              <w:rPr>
                <w:rFonts w:ascii="Arial" w:hAnsi="Arial" w:eastAsia="Arial"/>
                <w:b w:val="0"/>
                <w:color w:val="2C3338"/>
                <w:sz w:val="17"/>
              </w:rPr>
              <w:t>$80k–150k IDN / yr</w:t>
            </w:r>
          </w:p>
        </w:tc>
        <w:tc>
          <w:tcPr>
            <w:tcW w:type="dxa" w:w="3360"/>
            <w:shd w:fill="F4F7F8" w:val="clear"/>
          </w:tcPr>
          <w:p>
            <w:r/>
            <w:r>
              <w:rPr>
                <w:rFonts w:ascii="Arial" w:hAnsi="Arial" w:eastAsia="Arial"/>
                <w:b w:val="0"/>
                <w:color w:val="2C3338"/>
                <w:sz w:val="17"/>
              </w:rPr>
              <w:t>15–25 surgeons at list, or a small site license + BAA/EHR.</w:t>
            </w:r>
          </w:p>
        </w:tc>
        <w:tc>
          <w:tcPr>
            <w:tcW w:type="dxa" w:w="3360"/>
            <w:shd w:fill="F4F7F8" w:val="clear"/>
          </w:tcPr>
          <w:p>
            <w:r/>
            <w:r>
              <w:rPr>
                <w:rFonts w:ascii="Arial" w:hAnsi="Arial" w:eastAsia="Arial"/>
                <w:b w:val="0"/>
                <w:color w:val="2C3338"/>
                <w:sz w:val="17"/>
              </w:rPr>
              <w:t>Plausible. Low if they want FHIR + legal review in year one.</w:t>
            </w:r>
          </w:p>
        </w:tc>
      </w:tr>
      <w:tr>
        <w:tc>
          <w:tcPr>
            <w:tcW w:type="dxa" w:w="3360"/>
            <w:shd w:fill="FFFFFF" w:val="clear"/>
          </w:tcPr>
          <w:p>
            <w:r/>
            <w:r>
              <w:rPr>
                <w:rFonts w:ascii="Arial" w:hAnsi="Arial" w:eastAsia="Arial"/>
                <w:b w:val="0"/>
                <w:color w:val="2C3338"/>
                <w:sz w:val="17"/>
              </w:rPr>
              <w:t>Delivery cost $150–250 / surgeon / mo (Y1–2)</w:t>
            </w:r>
          </w:p>
        </w:tc>
        <w:tc>
          <w:tcPr>
            <w:tcW w:type="dxa" w:w="3360"/>
            <w:shd w:fill="FFFFFF" w:val="clear"/>
          </w:tcPr>
          <w:p>
            <w:r/>
            <w:r>
              <w:rPr>
                <w:rFonts w:ascii="Arial" w:hAnsi="Arial" w:eastAsia="Arial"/>
                <w:b w:val="0"/>
                <w:color w:val="2C3338"/>
                <w:sz w:val="17"/>
              </w:rPr>
              <w:t>Cloud+ASR maybe $30–80. Rest is human drift/support.</w:t>
            </w:r>
          </w:p>
        </w:tc>
        <w:tc>
          <w:tcPr>
            <w:tcW w:type="dxa" w:w="3360"/>
            <w:shd w:fill="FFFFFF" w:val="clear"/>
          </w:tcPr>
          <w:p>
            <w:r/>
            <w:r>
              <w:rPr>
                <w:rFonts w:ascii="Arial" w:hAnsi="Arial" w:eastAsia="Arial"/>
                <w:b w:val="0"/>
                <w:color w:val="2C3338"/>
                <w:sz w:val="17"/>
              </w:rPr>
              <w:t>This is cost, not price. If it does not fall, $499 is tight, not fat.</w:t>
            </w:r>
          </w:p>
        </w:tc>
      </w:tr>
    </w:tbl>
    <w:p>
      <w:pPr>
        <w:spacing w:before="0" w:after="160" w:line="276" w:lineRule="auto"/>
      </w:pPr>
      <w:r>
        <w:rPr>
          <w:rFonts w:ascii="Arial" w:hAnsi="Arial" w:eastAsia="Arial"/>
          <w:b w:val="0"/>
          <w:color w:val="2C3338"/>
          <w:sz w:val="22"/>
        </w:rPr>
        <w:t>Value check on $499–799: one wasted new-patient slot is 20–40 minutes. Cash new ortho visits run a few hundred dollars; an OR case is thousands to tens of thousands. Clearing a handful of never-surgery visits per week pays the subscription. That is the only justification for sitting above $150 scribe pricing. If holdout does not prove the twin calls operate-versus-not like them, this price is too high and we should not charge it.</w:t>
      </w:r>
    </w:p>
    <w:p>
      <w:pPr>
        <w:spacing w:before="0" w:after="160" w:line="276" w:lineRule="auto"/>
      </w:pPr>
      <w:r>
        <w:rPr>
          <w:rFonts w:ascii="Arial" w:hAnsi="Arial" w:eastAsia="Arial"/>
          <w:b w:val="0"/>
          <w:color w:val="2C3338"/>
          <w:sz w:val="22"/>
        </w:rPr>
        <w:t>Risk: surgeons will mentally file us next to Freed at $79. The first sentence of every pitch has to be the filter, not AI notes. Price after the 20-note holdout, not before.</w:t>
      </w:r>
    </w:p>
    <w:p>
      <w:pPr>
        <w:spacing w:before="280" w:after="160"/>
      </w:pPr>
      <w:r>
        <w:rPr>
          <w:rFonts w:ascii="Arial" w:hAnsi="Arial" w:eastAsia="Arial"/>
          <w:b/>
          <w:color w:val="0F5C6B"/>
          <w:sz w:val="24"/>
        </w:rPr>
        <w:t>Other revenue lines</w:t>
      </w:r>
    </w:p>
    <w:p>
      <w:pPr>
        <w:spacing w:before="160" w:after="160"/>
      </w:pPr>
      <w:r>
        <w:rPr>
          <w:rFonts w:ascii="Arial" w:hAnsi="Arial" w:eastAsia="Arial"/>
          <w:b w:val="0"/>
          <w:color w:val="2C3338"/>
          <w:sz w:val="22"/>
        </w:rPr>
        <w:t>Seat + $19 door are the core. Do not give the door away. Additional lines, in order we would turn on:</w:t>
      </w:r>
    </w:p>
    <w:tbl>
      <w:tblPr>
        <w:tblW w:type="auto" w:w="0"/>
        <w:tblLook w:firstColumn="1" w:firstRow="1" w:lastColumn="0" w:lastRow="0" w:noHBand="0" w:noVBand="1" w:val="04A0"/>
      </w:tblPr>
      <w:tblGrid>
        <w:gridCol w:w="2520"/>
        <w:gridCol w:w="2520"/>
        <w:gridCol w:w="2520"/>
        <w:gridCol w:w="2520"/>
      </w:tblGrid>
      <w:tr>
        <w:tc>
          <w:tcPr>
            <w:tcW w:type="dxa" w:w="2520"/>
            <w:shd w:fill="1B365D" w:val="clear"/>
          </w:tcPr>
          <w:p>
            <w:r/>
            <w:r>
              <w:rPr>
                <w:rFonts w:ascii="Arial" w:hAnsi="Arial" w:eastAsia="Arial"/>
                <w:b/>
                <w:color w:val="FFFFFF"/>
                <w:sz w:val="18"/>
              </w:rPr>
              <w:t>Line</w:t>
            </w:r>
          </w:p>
        </w:tc>
        <w:tc>
          <w:tcPr>
            <w:tcW w:type="dxa" w:w="2520"/>
            <w:shd w:fill="1B365D" w:val="clear"/>
          </w:tcPr>
          <w:p>
            <w:r/>
            <w:r>
              <w:rPr>
                <w:rFonts w:ascii="Arial" w:hAnsi="Arial" w:eastAsia="Arial"/>
                <w:b/>
                <w:color w:val="FFFFFF"/>
                <w:sz w:val="18"/>
              </w:rPr>
              <w:t>Who pays</w:t>
            </w:r>
          </w:p>
        </w:tc>
        <w:tc>
          <w:tcPr>
            <w:tcW w:type="dxa" w:w="2520"/>
            <w:shd w:fill="1B365D" w:val="clear"/>
          </w:tcPr>
          <w:p>
            <w:r/>
            <w:r>
              <w:rPr>
                <w:rFonts w:ascii="Arial" w:hAnsi="Arial" w:eastAsia="Arial"/>
                <w:b/>
                <w:color w:val="FFFFFF"/>
                <w:sz w:val="18"/>
              </w:rPr>
              <w:t>When</w:t>
            </w:r>
          </w:p>
        </w:tc>
        <w:tc>
          <w:tcPr>
            <w:tcW w:type="dxa" w:w="2520"/>
            <w:shd w:fill="1B365D" w:val="clear"/>
          </w:tcPr>
          <w:p>
            <w:r/>
            <w:r>
              <w:rPr>
                <w:rFonts w:ascii="Arial" w:hAnsi="Arial" w:eastAsia="Arial"/>
                <w:b/>
                <w:color w:val="FFFFFF"/>
                <w:sz w:val="18"/>
              </w:rPr>
              <w:t>Notes</w:t>
            </w:r>
          </w:p>
        </w:tc>
      </w:tr>
      <w:tr>
        <w:tc>
          <w:tcPr>
            <w:tcW w:type="dxa" w:w="2520"/>
            <w:shd w:fill="FFFFFF" w:val="clear"/>
          </w:tcPr>
          <w:p>
            <w:r/>
            <w:r>
              <w:rPr>
                <w:rFonts w:ascii="Arial" w:hAnsi="Arial" w:eastAsia="Arial"/>
                <w:b w:val="0"/>
                <w:color w:val="2C3338"/>
                <w:sz w:val="17"/>
              </w:rPr>
              <w:t>Surgeon seat $499–799/mo</w:t>
            </w:r>
          </w:p>
        </w:tc>
        <w:tc>
          <w:tcPr>
            <w:tcW w:type="dxa" w:w="2520"/>
            <w:shd w:fill="FFFFFF" w:val="clear"/>
          </w:tcPr>
          <w:p>
            <w:r/>
            <w:r>
              <w:rPr>
                <w:rFonts w:ascii="Arial" w:hAnsi="Arial" w:eastAsia="Arial"/>
                <w:b w:val="0"/>
                <w:color w:val="2C3338"/>
                <w:sz w:val="17"/>
              </w:rPr>
              <w:t>Surgeon / group</w:t>
            </w:r>
          </w:p>
        </w:tc>
        <w:tc>
          <w:tcPr>
            <w:tcW w:type="dxa" w:w="2520"/>
            <w:shd w:fill="FFFFFF" w:val="clear"/>
          </w:tcPr>
          <w:p>
            <w:r/>
            <w:r>
              <w:rPr>
                <w:rFonts w:ascii="Arial" w:hAnsi="Arial" w:eastAsia="Arial"/>
                <w:b w:val="0"/>
                <w:color w:val="2C3338"/>
                <w:sz w:val="17"/>
              </w:rPr>
              <w:t>After holdout</w:t>
            </w:r>
          </w:p>
        </w:tc>
        <w:tc>
          <w:tcPr>
            <w:tcW w:type="dxa" w:w="2520"/>
            <w:shd w:fill="FFFFFF" w:val="clear"/>
          </w:tcPr>
          <w:p>
            <w:r/>
            <w:r>
              <w:rPr>
                <w:rFonts w:ascii="Arial" w:hAnsi="Arial" w:eastAsia="Arial"/>
                <w:b w:val="0"/>
                <w:color w:val="2C3338"/>
                <w:sz w:val="17"/>
              </w:rPr>
              <w:t>Core. Do not discount to “scribe money.”</w:t>
            </w:r>
          </w:p>
        </w:tc>
      </w:tr>
      <w:tr>
        <w:tc>
          <w:tcPr>
            <w:tcW w:type="dxa" w:w="2520"/>
            <w:shd w:fill="F4F7F8" w:val="clear"/>
          </w:tcPr>
          <w:p>
            <w:r/>
            <w:r>
              <w:rPr>
                <w:rFonts w:ascii="Arial" w:hAnsi="Arial" w:eastAsia="Arial"/>
                <w:b w:val="0"/>
                <w:color w:val="2C3338"/>
                <w:sz w:val="17"/>
              </w:rPr>
              <w:t>Implementation $8–15k</w:t>
            </w:r>
          </w:p>
        </w:tc>
        <w:tc>
          <w:tcPr>
            <w:tcW w:type="dxa" w:w="2520"/>
            <w:shd w:fill="F4F7F8" w:val="clear"/>
          </w:tcPr>
          <w:p>
            <w:r/>
            <w:r>
              <w:rPr>
                <w:rFonts w:ascii="Arial" w:hAnsi="Arial" w:eastAsia="Arial"/>
                <w:b w:val="0"/>
                <w:color w:val="2C3338"/>
                <w:sz w:val="17"/>
              </w:rPr>
              <w:t>Surgeon / group</w:t>
            </w:r>
          </w:p>
        </w:tc>
        <w:tc>
          <w:tcPr>
            <w:tcW w:type="dxa" w:w="2520"/>
            <w:shd w:fill="F4F7F8" w:val="clear"/>
          </w:tcPr>
          <w:p>
            <w:r/>
            <w:r>
              <w:rPr>
                <w:rFonts w:ascii="Arial" w:hAnsi="Arial" w:eastAsia="Arial"/>
                <w:b w:val="0"/>
                <w:color w:val="2C3338"/>
                <w:sz w:val="17"/>
              </w:rPr>
              <w:t>Each new twin</w:t>
            </w:r>
          </w:p>
        </w:tc>
        <w:tc>
          <w:tcPr>
            <w:tcW w:type="dxa" w:w="2520"/>
            <w:shd w:fill="F4F7F8" w:val="clear"/>
          </w:tcPr>
          <w:p>
            <w:r/>
            <w:r>
              <w:rPr>
                <w:rFonts w:ascii="Arial" w:hAnsi="Arial" w:eastAsia="Arial"/>
                <w:b w:val="0"/>
                <w:color w:val="2C3338"/>
                <w:sz w:val="17"/>
              </w:rPr>
              <w:t>Real work. Keep it.</w:t>
            </w:r>
          </w:p>
        </w:tc>
      </w:tr>
      <w:tr>
        <w:tc>
          <w:tcPr>
            <w:tcW w:type="dxa" w:w="2520"/>
            <w:shd w:fill="FFFFFF" w:val="clear"/>
          </w:tcPr>
          <w:p>
            <w:r/>
            <w:r>
              <w:rPr>
                <w:rFonts w:ascii="Arial" w:hAnsi="Arial" w:eastAsia="Arial"/>
                <w:b w:val="0"/>
                <w:color w:val="2C3338"/>
                <w:sz w:val="17"/>
              </w:rPr>
              <w:t>Patient door $9–19</w:t>
            </w:r>
          </w:p>
        </w:tc>
        <w:tc>
          <w:tcPr>
            <w:tcW w:type="dxa" w:w="2520"/>
            <w:shd w:fill="FFFFFF" w:val="clear"/>
          </w:tcPr>
          <w:p>
            <w:r/>
            <w:r>
              <w:rPr>
                <w:rFonts w:ascii="Arial" w:hAnsi="Arial" w:eastAsia="Arial"/>
                <w:b w:val="0"/>
                <w:color w:val="2C3338"/>
                <w:sz w:val="17"/>
              </w:rPr>
              <w:t>Patient</w:t>
            </w:r>
          </w:p>
        </w:tc>
        <w:tc>
          <w:tcPr>
            <w:tcW w:type="dxa" w:w="2520"/>
            <w:shd w:fill="FFFFFF" w:val="clear"/>
          </w:tcPr>
          <w:p>
            <w:r/>
            <w:r>
              <w:rPr>
                <w:rFonts w:ascii="Arial" w:hAnsi="Arial" w:eastAsia="Arial"/>
                <w:b w:val="0"/>
                <w:color w:val="2C3338"/>
                <w:sz w:val="17"/>
              </w:rPr>
              <w:t>V1</w:t>
            </w:r>
          </w:p>
        </w:tc>
        <w:tc>
          <w:tcPr>
            <w:tcW w:type="dxa" w:w="2520"/>
            <w:shd w:fill="FFFFFF" w:val="clear"/>
          </w:tcPr>
          <w:p>
            <w:r/>
            <w:r>
              <w:rPr>
                <w:rFonts w:ascii="Arial" w:hAnsi="Arial" w:eastAsia="Arial"/>
                <w:b w:val="0"/>
                <w:color w:val="2C3338"/>
                <w:sz w:val="17"/>
              </w:rPr>
              <w:t>100% DictatOR. No refund.</w:t>
            </w:r>
          </w:p>
        </w:tc>
      </w:tr>
      <w:tr>
        <w:tc>
          <w:tcPr>
            <w:tcW w:type="dxa" w:w="2520"/>
            <w:shd w:fill="F4F7F8" w:val="clear"/>
          </w:tcPr>
          <w:p>
            <w:r/>
            <w:r>
              <w:rPr>
                <w:rFonts w:ascii="Arial" w:hAnsi="Arial" w:eastAsia="Arial"/>
                <w:b w:val="0"/>
                <w:color w:val="2C3338"/>
                <w:sz w:val="17"/>
              </w:rPr>
              <w:t>Post-op “is this normal?” module</w:t>
            </w:r>
          </w:p>
        </w:tc>
        <w:tc>
          <w:tcPr>
            <w:tcW w:type="dxa" w:w="2520"/>
            <w:shd w:fill="F4F7F8" w:val="clear"/>
          </w:tcPr>
          <w:p>
            <w:r/>
            <w:r>
              <w:rPr>
                <w:rFonts w:ascii="Arial" w:hAnsi="Arial" w:eastAsia="Arial"/>
                <w:b w:val="0"/>
                <w:color w:val="2C3338"/>
                <w:sz w:val="17"/>
              </w:rPr>
              <w:t>Surgeon, add-on ~$99–199/mo</w:t>
            </w:r>
          </w:p>
        </w:tc>
        <w:tc>
          <w:tcPr>
            <w:tcW w:type="dxa" w:w="2520"/>
            <w:shd w:fill="F4F7F8" w:val="clear"/>
          </w:tcPr>
          <w:p>
            <w:r/>
            <w:r>
              <w:rPr>
                <w:rFonts w:ascii="Arial" w:hAnsi="Arial" w:eastAsia="Arial"/>
                <w:b w:val="0"/>
                <w:color w:val="2C3338"/>
                <w:sz w:val="17"/>
              </w:rPr>
              <w:t>V1.5</w:t>
            </w:r>
          </w:p>
        </w:tc>
        <w:tc>
          <w:tcPr>
            <w:tcW w:type="dxa" w:w="2520"/>
            <w:shd w:fill="F4F7F8" w:val="clear"/>
          </w:tcPr>
          <w:p>
            <w:r/>
            <w:r>
              <w:rPr>
                <w:rFonts w:ascii="Arial" w:hAnsi="Arial" w:eastAsia="Arial"/>
                <w:b w:val="0"/>
                <w:color w:val="2C3338"/>
                <w:sz w:val="17"/>
              </w:rPr>
              <w:t>Same twin, second time-sink.</w:t>
            </w:r>
          </w:p>
        </w:tc>
      </w:tr>
      <w:tr>
        <w:tc>
          <w:tcPr>
            <w:tcW w:type="dxa" w:w="2520"/>
            <w:shd w:fill="FFFFFF" w:val="clear"/>
          </w:tcPr>
          <w:p>
            <w:r/>
            <w:r>
              <w:rPr>
                <w:rFonts w:ascii="Arial" w:hAnsi="Arial" w:eastAsia="Arial"/>
                <w:b w:val="0"/>
                <w:color w:val="2C3338"/>
                <w:sz w:val="17"/>
              </w:rPr>
              <w:t>Cash second opinion</w:t>
            </w:r>
          </w:p>
        </w:tc>
        <w:tc>
          <w:tcPr>
            <w:tcW w:type="dxa" w:w="2520"/>
            <w:shd w:fill="FFFFFF" w:val="clear"/>
          </w:tcPr>
          <w:p>
            <w:r/>
            <w:r>
              <w:rPr>
                <w:rFonts w:ascii="Arial" w:hAnsi="Arial" w:eastAsia="Arial"/>
                <w:b w:val="0"/>
                <w:color w:val="2C3338"/>
                <w:sz w:val="17"/>
              </w:rPr>
              <w:t>Patient $75–250</w:t>
            </w:r>
          </w:p>
        </w:tc>
        <w:tc>
          <w:tcPr>
            <w:tcW w:type="dxa" w:w="2520"/>
            <w:shd w:fill="FFFFFF" w:val="clear"/>
          </w:tcPr>
          <w:p>
            <w:r/>
            <w:r>
              <w:rPr>
                <w:rFonts w:ascii="Arial" w:hAnsi="Arial" w:eastAsia="Arial"/>
                <w:b w:val="0"/>
                <w:color w:val="2C3338"/>
                <w:sz w:val="17"/>
              </w:rPr>
              <w:t>V1.5</w:t>
            </w:r>
          </w:p>
        </w:tc>
        <w:tc>
          <w:tcPr>
            <w:tcW w:type="dxa" w:w="2520"/>
            <w:shd w:fill="FFFFFF" w:val="clear"/>
          </w:tcPr>
          <w:p>
            <w:r/>
            <w:r>
              <w:rPr>
                <w:rFonts w:ascii="Arial" w:hAnsi="Arial" w:eastAsia="Arial"/>
                <w:b w:val="0"/>
                <w:color w:val="2C3338"/>
                <w:sz w:val="17"/>
              </w:rPr>
              <w:t>“Would this surgeon operate?” High intent. Surgeon still reviews.</w:t>
            </w:r>
          </w:p>
        </w:tc>
      </w:tr>
      <w:tr>
        <w:tc>
          <w:tcPr>
            <w:tcW w:type="dxa" w:w="2520"/>
            <w:shd w:fill="F4F7F8" w:val="clear"/>
          </w:tcPr>
          <w:p>
            <w:r/>
            <w:r>
              <w:rPr>
                <w:rFonts w:ascii="Arial" w:hAnsi="Arial" w:eastAsia="Arial"/>
                <w:b w:val="0"/>
                <w:color w:val="2C3338"/>
                <w:sz w:val="17"/>
              </w:rPr>
              <w:t>Non-op handoff network</w:t>
            </w:r>
          </w:p>
        </w:tc>
        <w:tc>
          <w:tcPr>
            <w:tcW w:type="dxa" w:w="2520"/>
            <w:shd w:fill="F4F7F8" w:val="clear"/>
          </w:tcPr>
          <w:p>
            <w:r/>
            <w:r>
              <w:rPr>
                <w:rFonts w:ascii="Arial" w:hAnsi="Arial" w:eastAsia="Arial"/>
                <w:b w:val="0"/>
                <w:color w:val="2C3338"/>
                <w:sz w:val="17"/>
              </w:rPr>
              <w:t>PT / brace / injection clinic</w:t>
            </w:r>
          </w:p>
        </w:tc>
        <w:tc>
          <w:tcPr>
            <w:tcW w:type="dxa" w:w="2520"/>
            <w:shd w:fill="F4F7F8" w:val="clear"/>
          </w:tcPr>
          <w:p>
            <w:r/>
            <w:r>
              <w:rPr>
                <w:rFonts w:ascii="Arial" w:hAnsi="Arial" w:eastAsia="Arial"/>
                <w:b w:val="0"/>
                <w:color w:val="2C3338"/>
                <w:sz w:val="17"/>
              </w:rPr>
              <w:t>V2</w:t>
            </w:r>
          </w:p>
        </w:tc>
        <w:tc>
          <w:tcPr>
            <w:tcW w:type="dxa" w:w="2520"/>
            <w:shd w:fill="F4F7F8" w:val="clear"/>
          </w:tcPr>
          <w:p>
            <w:r/>
            <w:r>
              <w:rPr>
                <w:rFonts w:ascii="Arial" w:hAnsi="Arial" w:eastAsia="Arial"/>
                <w:b w:val="0"/>
                <w:color w:val="2C3338"/>
                <w:sz w:val="17"/>
              </w:rPr>
              <w:t>Preferred-provider fee or 5–15% of the downstream visit. Aligns with the filter.</w:t>
            </w:r>
          </w:p>
        </w:tc>
      </w:tr>
      <w:tr>
        <w:tc>
          <w:tcPr>
            <w:tcW w:type="dxa" w:w="2520"/>
            <w:shd w:fill="FFFFFF" w:val="clear"/>
          </w:tcPr>
          <w:p>
            <w:r/>
            <w:r>
              <w:rPr>
                <w:rFonts w:ascii="Arial" w:hAnsi="Arial" w:eastAsia="Arial"/>
                <w:b w:val="0"/>
                <w:color w:val="2C3338"/>
                <w:sz w:val="17"/>
              </w:rPr>
              <w:t>Surgical indication / prior-auth packet</w:t>
            </w:r>
          </w:p>
        </w:tc>
        <w:tc>
          <w:tcPr>
            <w:tcW w:type="dxa" w:w="2520"/>
            <w:shd w:fill="FFFFFF" w:val="clear"/>
          </w:tcPr>
          <w:p>
            <w:r/>
            <w:r>
              <w:rPr>
                <w:rFonts w:ascii="Arial" w:hAnsi="Arial" w:eastAsia="Arial"/>
                <w:b w:val="0"/>
                <w:color w:val="2C3338"/>
                <w:sz w:val="17"/>
              </w:rPr>
              <w:t>Group or billing office ~$2–8 per packet or bundled</w:t>
            </w:r>
          </w:p>
        </w:tc>
        <w:tc>
          <w:tcPr>
            <w:tcW w:type="dxa" w:w="2520"/>
            <w:shd w:fill="FFFFFF" w:val="clear"/>
          </w:tcPr>
          <w:p>
            <w:r/>
            <w:r>
              <w:rPr>
                <w:rFonts w:ascii="Arial" w:hAnsi="Arial" w:eastAsia="Arial"/>
                <w:b w:val="0"/>
                <w:color w:val="2C3338"/>
                <w:sz w:val="17"/>
              </w:rPr>
              <w:t>V2</w:t>
            </w:r>
          </w:p>
        </w:tc>
        <w:tc>
          <w:tcPr>
            <w:tcW w:type="dxa" w:w="2520"/>
            <w:shd w:fill="FFFFFF" w:val="clear"/>
          </w:tcPr>
          <w:p>
            <w:r/>
            <w:r>
              <w:rPr>
                <w:rFonts w:ascii="Arial" w:hAnsi="Arial" w:eastAsia="Arial"/>
                <w:b w:val="0"/>
                <w:color w:val="2C3338"/>
                <w:sz w:val="17"/>
              </w:rPr>
              <w:t>Only on “book / operate” cases.</w:t>
            </w:r>
          </w:p>
        </w:tc>
      </w:tr>
      <w:tr>
        <w:tc>
          <w:tcPr>
            <w:tcW w:type="dxa" w:w="2520"/>
            <w:shd w:fill="F4F7F8" w:val="clear"/>
          </w:tcPr>
          <w:p>
            <w:r/>
            <w:r>
              <w:rPr>
                <w:rFonts w:ascii="Arial" w:hAnsi="Arial" w:eastAsia="Arial"/>
                <w:b w:val="0"/>
                <w:color w:val="2C3338"/>
                <w:sz w:val="17"/>
              </w:rPr>
              <w:t>Referral intake for PCPs/PTs</w:t>
            </w:r>
          </w:p>
        </w:tc>
        <w:tc>
          <w:tcPr>
            <w:tcW w:type="dxa" w:w="2520"/>
            <w:shd w:fill="F4F7F8" w:val="clear"/>
          </w:tcPr>
          <w:p>
            <w:r/>
            <w:r>
              <w:rPr>
                <w:rFonts w:ascii="Arial" w:hAnsi="Arial" w:eastAsia="Arial"/>
                <w:b w:val="0"/>
                <w:color w:val="2C3338"/>
                <w:sz w:val="17"/>
              </w:rPr>
              <w:t>Group or referring practice</w:t>
            </w:r>
          </w:p>
        </w:tc>
        <w:tc>
          <w:tcPr>
            <w:tcW w:type="dxa" w:w="2520"/>
            <w:shd w:fill="F4F7F8" w:val="clear"/>
          </w:tcPr>
          <w:p>
            <w:r/>
            <w:r>
              <w:rPr>
                <w:rFonts w:ascii="Arial" w:hAnsi="Arial" w:eastAsia="Arial"/>
                <w:b w:val="0"/>
                <w:color w:val="2C3338"/>
                <w:sz w:val="17"/>
              </w:rPr>
              <w:t>V2</w:t>
            </w:r>
          </w:p>
        </w:tc>
        <w:tc>
          <w:tcPr>
            <w:tcW w:type="dxa" w:w="2520"/>
            <w:shd w:fill="F4F7F8" w:val="clear"/>
          </w:tcPr>
          <w:p>
            <w:r/>
            <w:r>
              <w:rPr>
                <w:rFonts w:ascii="Arial" w:hAnsi="Arial" w:eastAsia="Arial"/>
                <w:b w:val="0"/>
                <w:color w:val="2C3338"/>
                <w:sz w:val="17"/>
              </w:rPr>
              <w:t>Wrong-surgeon and non-op referrals die before the board.</w:t>
            </w:r>
          </w:p>
        </w:tc>
      </w:tr>
      <w:tr>
        <w:tc>
          <w:tcPr>
            <w:tcW w:type="dxa" w:w="2520"/>
            <w:shd w:fill="FFFFFF" w:val="clear"/>
          </w:tcPr>
          <w:p>
            <w:r/>
            <w:r>
              <w:rPr>
                <w:rFonts w:ascii="Arial" w:hAnsi="Arial" w:eastAsia="Arial"/>
                <w:b w:val="0"/>
                <w:color w:val="2C3338"/>
                <w:sz w:val="17"/>
              </w:rPr>
              <w:t>After-hours coverage pack</w:t>
            </w:r>
          </w:p>
        </w:tc>
        <w:tc>
          <w:tcPr>
            <w:tcW w:type="dxa" w:w="2520"/>
            <w:shd w:fill="FFFFFF" w:val="clear"/>
          </w:tcPr>
          <w:p>
            <w:r/>
            <w:r>
              <w:rPr>
                <w:rFonts w:ascii="Arial" w:hAnsi="Arial" w:eastAsia="Arial"/>
                <w:b w:val="0"/>
                <w:color w:val="2C3338"/>
                <w:sz w:val="17"/>
              </w:rPr>
              <w:t>Group</w:t>
            </w:r>
          </w:p>
        </w:tc>
        <w:tc>
          <w:tcPr>
            <w:tcW w:type="dxa" w:w="2520"/>
            <w:shd w:fill="FFFFFF" w:val="clear"/>
          </w:tcPr>
          <w:p>
            <w:r/>
            <w:r>
              <w:rPr>
                <w:rFonts w:ascii="Arial" w:hAnsi="Arial" w:eastAsia="Arial"/>
                <w:b w:val="0"/>
                <w:color w:val="2C3338"/>
                <w:sz w:val="17"/>
              </w:rPr>
              <w:t>V2</w:t>
            </w:r>
          </w:p>
        </w:tc>
        <w:tc>
          <w:tcPr>
            <w:tcW w:type="dxa" w:w="2520"/>
            <w:shd w:fill="FFFFFF" w:val="clear"/>
          </w:tcPr>
          <w:p>
            <w:r/>
            <w:r>
              <w:rPr>
                <w:rFonts w:ascii="Arial" w:hAnsi="Arial" w:eastAsia="Arial"/>
                <w:b w:val="0"/>
                <w:color w:val="2C3338"/>
                <w:sz w:val="17"/>
              </w:rPr>
              <w:t>Twin + staff queue overnight.</w:t>
            </w:r>
          </w:p>
        </w:tc>
      </w:tr>
      <w:tr>
        <w:tc>
          <w:tcPr>
            <w:tcW w:type="dxa" w:w="2520"/>
            <w:shd w:fill="F4F7F8" w:val="clear"/>
          </w:tcPr>
          <w:p>
            <w:r/>
            <w:r>
              <w:rPr>
                <w:rFonts w:ascii="Arial" w:hAnsi="Arial" w:eastAsia="Arial"/>
                <w:b w:val="0"/>
                <w:color w:val="2C3338"/>
                <w:sz w:val="17"/>
              </w:rPr>
              <w:t>IDN / site license</w:t>
            </w:r>
          </w:p>
        </w:tc>
        <w:tc>
          <w:tcPr>
            <w:tcW w:type="dxa" w:w="2520"/>
            <w:shd w:fill="F4F7F8" w:val="clear"/>
          </w:tcPr>
          <w:p>
            <w:r/>
            <w:r>
              <w:rPr>
                <w:rFonts w:ascii="Arial" w:hAnsi="Arial" w:eastAsia="Arial"/>
                <w:b w:val="0"/>
                <w:color w:val="2C3338"/>
                <w:sz w:val="17"/>
              </w:rPr>
              <w:t>System $80k–150k/yr</w:t>
            </w:r>
          </w:p>
        </w:tc>
        <w:tc>
          <w:tcPr>
            <w:tcW w:type="dxa" w:w="2520"/>
            <w:shd w:fill="F4F7F8" w:val="clear"/>
          </w:tcPr>
          <w:p>
            <w:r/>
            <w:r>
              <w:rPr>
                <w:rFonts w:ascii="Arial" w:hAnsi="Arial" w:eastAsia="Arial"/>
                <w:b w:val="0"/>
                <w:color w:val="2C3338"/>
                <w:sz w:val="17"/>
              </w:rPr>
              <w:t>V3</w:t>
            </w:r>
          </w:p>
        </w:tc>
        <w:tc>
          <w:tcPr>
            <w:tcW w:type="dxa" w:w="2520"/>
            <w:shd w:fill="F4F7F8" w:val="clear"/>
          </w:tcPr>
          <w:p>
            <w:r/>
            <w:r>
              <w:rPr>
                <w:rFonts w:ascii="Arial" w:hAnsi="Arial" w:eastAsia="Arial"/>
                <w:b w:val="0"/>
                <w:color w:val="2C3338"/>
                <w:sz w:val="17"/>
              </w:rPr>
              <w:t>After missed-surgery audit exists.</w:t>
            </w:r>
          </w:p>
        </w:tc>
      </w:tr>
    </w:tbl>
    <w:p>
      <w:pPr>
        <w:spacing w:before="160" w:after="160"/>
      </w:pPr>
      <w:r>
        <w:rPr>
          <w:rFonts w:ascii="Arial" w:hAnsi="Arial" w:eastAsia="Arial"/>
          <w:b w:val="0"/>
          <w:color w:val="2C3338"/>
          <w:sz w:val="22"/>
        </w:rPr>
        <w:t>Do not add ads, data resale, or training foundation models on corpora. That burns the moat and the BAA. Ranking: seat, door, impl, post-op module, second opinion, then network take-rate. Network money is real but slower and political.</w:t>
      </w:r>
    </w:p>
    <w:p>
      <w:r>
        <w:rPr>
          <w:b/>
        </w:rPr>
        <w:t>10. Market size — do not use 40,000 as paying customers</w:t>
      </w:r>
    </w:p>
    <w:p>
      <w:r>
        <w:rPr>
          <w:b w:val="0"/>
        </w:rPr>
        <w:t>Lists of “orthopedic surgeons in the US” run from about 14,000 to about 41,000 depending on who is counting. Using the top of that range as if every name will pay is how a plan gets laughed out of a room.</w:t>
      </w:r>
    </w:p>
    <w:p>
      <w:r>
        <w:rPr>
          <w:b/>
        </w:rPr>
        <w:t>What the sources actually say</w:t>
      </w:r>
    </w:p>
    <w:p>
      <w:r>
        <w:rPr>
          <w:b w:val="0"/>
        </w:rPr>
        <w:t>• BLS occupational survey (May 2025): about 14,100 “orthopedic surgeons, except pediatric.” This is employed payroll, so it undercounts owners and many private-practice partners.</w:t>
      </w:r>
    </w:p>
    <w:p>
      <w:r>
        <w:rPr>
          <w:b w:val="0"/>
        </w:rPr>
        <w:t>• Statista / active specialty physicians (2026): about 27,400 orthopedic surgery physicians.</w:t>
      </w:r>
    </w:p>
    <w:p>
      <w:r>
        <w:rPr>
          <w:b w:val="0"/>
        </w:rPr>
        <w:t>• ABOS: roughly 30,000 currently board-certified; published practicing estimates cluster around 21,000–30,000 depending on career-length assumptions.</w:t>
      </w:r>
    </w:p>
    <w:p>
      <w:r>
        <w:rPr>
          <w:b w:val="0"/>
        </w:rPr>
        <w:t>• HRSA workforce model (2025): about 32,000 FTE supply, already short of modeled demand (~33,700), with supply falling and demand rising into the 2030s.</w:t>
      </w:r>
    </w:p>
    <w:p>
      <w:r>
        <w:rPr>
          <w:b w:val="0"/>
        </w:rPr>
        <w:t>• Vendor mailing lists (e.g. Ampliz ~41,400): every listed name, including people who do not operate a clinic we can sell.</w:t>
      </w:r>
    </w:p>
    <w:p>
      <w:r>
        <w:rPr>
          <w:b/>
        </w:rPr>
        <w:t>Planning base we will use</w:t>
      </w:r>
    </w:p>
    <w:p>
      <w:r>
        <w:rPr>
          <w:b w:val="0"/>
        </w:rPr>
        <w:t>• Total U.S. practicing orthopedic surgeons: 28,000–32,000. Call it 30,000 for math.</w:t>
      </w:r>
    </w:p>
    <w:p>
      <w:r>
        <w:rPr>
          <w:b w:val="0"/>
        </w:rPr>
        <w:t>• 40,000 is a list, not a TAM. We will not multiply 40,000 × $799 × 12 and call that revenue.</w:t>
      </w:r>
    </w:p>
    <w:p>
      <w:r>
        <w:rPr>
          <w:b w:val="0"/>
        </w:rPr>
        <w:t>• Serviceable: high-volume arthroplasty, spine, and sports surgeons who lose time on non-operative new visits — about 30–40% of the 30,000, or 9,000–12,000 surgeons. That is the real ceiling for this product.</w:t>
      </w:r>
    </w:p>
    <w:p>
      <w:r>
        <w:rPr>
          <w:b w:val="0"/>
        </w:rPr>
        <w:t>• Year-3 expected 140 paid twins is ~1.2% of that 12,000 band, ~0.5% of all practicing surgeons. That is ambitious for a two-founder company and still a tiny slice of the specialty.</w:t>
      </w:r>
    </w:p>
    <w:p>
      <w:r>
        <w:rPr>
          <w:b/>
        </w:rPr>
        <w:t>Revenue math that is allowed in this plan</w:t>
      </w:r>
    </w:p>
    <w:p>
      <w:r>
        <w:rPr>
          <w:b w:val="0"/>
        </w:rPr>
        <w:t>• Subscription at $600/month blended (inside the $499–799 band): 12,000 SAM × $7,200/year = ~$86M/year theoretical subscription ceiling. We will not book that.</w:t>
      </w:r>
    </w:p>
    <w:p>
      <w:r>
        <w:rPr>
          <w:b w:val="0"/>
        </w:rPr>
        <w:t>• Implementation $8k–15k is one-time per twin, not ARR.</w:t>
      </w:r>
    </w:p>
    <w:p>
      <w:r>
        <w:rPr>
          <w:b w:val="0"/>
        </w:rPr>
        <w:t>• Patient door $9–19, company keeps 100%. At 20 paid doors per surgeon per month and $14 average: 12,000 × 20 × $14 × 12 = ~$40M/year theoretical door ceiling. Same rule: do not book it.</w:t>
      </w:r>
    </w:p>
    <w:p>
      <w:r>
        <w:rPr>
          <w:b w:val="0"/>
        </w:rPr>
        <w:t>• Vanity check: 40,000 × $799 × 12 = $383M. That number is not in our forecast and must not appear in a pitch as “the market.”</w:t>
      </w:r>
    </w:p>
    <w:p>
      <w:r>
        <w:rPr>
          <w:b w:val="0"/>
        </w:rPr>
        <w:t>P&amp;L in this document is the only revenue claim. It is a planning case from paying twins we do not have yet, not a top-down 40,000-surgeon rollout.</w:t>
      </w:r>
    </w:p>
    <w:p>
      <w:r>
        <w:rPr>
          <w:b w:val="0"/>
        </w:rPr>
        <w:t>• Allowed ceiling math: $10k–$11k recurring × 1,000 twins ≈ $10–11M/year. × 2,000 twins ≈ $20–23M/year. That matches the hard-push case, not year 3.</w:t>
      </w:r>
    </w:p>
    <w:p>
      <w:r>
        <w:rPr>
          <w:b w:val="0"/>
        </w:rPr>
        <w:t>• Do not multiply $11,400 × 30,000. Most of those surgeons will never attest a corpus.</w:t>
      </w:r>
    </w:p>
    <w:p>
      <w:r>
        <w:rPr>
          <w:b w:val="0"/>
        </w:rPr>
        <w:t>• Do not multiply $11,400 × 40,000. That is $456M of fiction.</w:t>
      </w:r>
    </w:p>
    <w:p>
      <w:r>
        <w:rPr>
          <w:b w:val="0"/>
        </w:rPr>
        <w:t>What not to do with these numbers</w:t>
      </w:r>
    </w:p>
    <w:p>
      <w:r>
        <w:rPr>
          <w:b w:val="0"/>
        </w:rPr>
        <w:t>• First-year delivery + stand-up cost is higher than steady-state. Do not treat $20k as margin.</w:t>
      </w:r>
    </w:p>
    <w:p>
      <w:r>
        <w:rPr>
          <w:b w:val="0"/>
        </w:rPr>
        <w:t>• First-year cash in per surgeon: ~$10,000 impl + ~$7,200 sub + ~$2,500–$3,400 door ≈ $20,000–$21,000.</w:t>
      </w:r>
    </w:p>
    <w:p>
      <w:r>
        <w:rPr>
          <w:b w:val="0"/>
        </w:rPr>
        <w:t>• Implementation list: $8,000–$15,000 one-time (use $10,000 in planning).</w:t>
      </w:r>
    </w:p>
    <w:p>
      <w:r>
        <w:rPr>
          <w:b w:val="0"/>
        </w:rPr>
        <w:t>First year the twin is stood up (impl lands in this year)</w:t>
      </w:r>
    </w:p>
    <w:p>
      <w:r>
        <w:rPr>
          <w:b w:val="0"/>
        </w:rPr>
        <w:t>• Contribution per twin after delivery, before company overhead: about $7,000–$9,500/year.</w:t>
      </w:r>
    </w:p>
    <w:p>
      <w:r>
        <w:rPr>
          <w:b w:val="0"/>
        </w:rPr>
        <w:t>• Direct delivery cost years 1–2: $150–250/month = $1,800–$3,000/year (inference, ASR, support, drift).</w:t>
      </w:r>
    </w:p>
    <w:p>
      <w:r>
        <w:rPr>
          <w:b w:val="0"/>
        </w:rPr>
        <w:t>• Recurring take per surgeon per year: about $9,700–$11,400 (subscription + door).</w:t>
      </w:r>
    </w:p>
    <w:p>
      <w:r>
        <w:rPr>
          <w:b w:val="0"/>
        </w:rPr>
        <w:t>• Door at 15/month: $2,520/year. At 20/month: $3,360/year. At 25/month: $4,200/year.</w:t>
      </w:r>
    </w:p>
    <w:p>
      <w:r>
        <w:rPr>
          <w:b w:val="0"/>
        </w:rPr>
        <w:t>• Patient door: company keeps $9–19. Planning rate $14. Volume 15–25 paid doors per surgeon per month.</w:t>
      </w:r>
    </w:p>
    <w:p>
      <w:r>
        <w:rPr>
          <w:b w:val="0"/>
        </w:rPr>
        <w:t>• Subscription (blended): $600/month = $7,200/year per surgeon.</w:t>
      </w:r>
    </w:p>
    <w:p>
      <w:r>
        <w:rPr>
          <w:b w:val="0"/>
        </w:rPr>
        <w:t>Steady-state year (subscription + door, no new impl)</w:t>
      </w:r>
    </w:p>
    <w:p>
      <w:r>
        <w:rPr>
          <w:b w:val="0"/>
        </w:rPr>
        <w:t>One twin = one surgeon. We do not sell a shared group brain. A 10-doctor group is 10 twins and 10 implementation jobs.</w:t>
      </w:r>
    </w:p>
    <w:p>
      <w:r>
        <w:rPr>
          <w:b/>
        </w:rPr>
        <w:t>10a. Unit economics — per twin, per surgeon</w:t>
      </w:r>
    </w:p>
    <w:p>
      <w:pPr>
        <w:pStyle w:val="Heading1"/>
        <w:pBdr>
          <w:bottom w:val="single" w:color="0F5C6B" w:sz="12" w:space="6"/>
        </w:pBdr>
        <w:spacing w:after="160" w:before="360"/>
      </w:pPr>
      <w:r>
        <w:rPr>
          <w:rFonts w:ascii="Arial" w:cs="Arial" w:eastAsia="Arial" w:hAnsi="Arial"/>
          <w:b/>
          <w:bCs/>
          <w:color w:val="1B365D"/>
          <w:sz w:val="28"/>
          <w:szCs w:val="28"/>
        </w:rPr>
        <w:t>11. Go-to-market</w:t>
      </w:r>
    </w:p>
    <w:p>
      <w:pPr>
        <w:pStyle w:val="ListParagraph"/>
        <w:numPr>
          <w:ilvl w:val="0"/>
          <w:numId w:val="2"/>
        </w:numPr>
        <w:spacing w:after="80" w:line="260"/>
      </w:pPr>
      <w:r>
        <w:rPr>
          <w:rFonts w:ascii="Arial" w:cs="Arial" w:eastAsia="Arial" w:hAnsi="Arial"/>
          <w:color w:val="2C3338"/>
          <w:sz w:val="21"/>
          <w:szCs w:val="21"/>
        </w:rPr>
        <w:t xml:space="preserve">Beachhead: one co-inventor corpus, then a handful of high-volume partners. Not a health-system RFP.</w:t>
      </w:r>
    </w:p>
    <w:p>
      <w:pPr>
        <w:pStyle w:val="ListParagraph"/>
        <w:numPr>
          <w:ilvl w:val="0"/>
          <w:numId w:val="2"/>
        </w:numPr>
        <w:spacing w:after="80" w:line="260"/>
      </w:pPr>
      <w:r>
        <w:rPr>
          <w:rFonts w:ascii="Arial" w:cs="Arial" w:eastAsia="Arial" w:hAnsi="Arial"/>
          <w:color w:val="2C3338"/>
          <w:sz w:val="21"/>
          <w:szCs w:val="21"/>
        </w:rPr>
        <w:t xml:space="preserve">Hold out 20 attested notes. Do not bill until the draft matches how they called operate-versus-not.</w:t>
      </w:r>
    </w:p>
    <w:p>
      <w:pPr>
        <w:pStyle w:val="ListParagraph"/>
        <w:numPr>
          <w:ilvl w:val="0"/>
          <w:numId w:val="2"/>
        </w:numPr>
        <w:spacing w:after="80" w:line="260"/>
      </w:pPr>
      <w:r>
        <w:rPr>
          <w:rFonts w:ascii="Arial" w:cs="Arial" w:eastAsia="Arial" w:hAnsi="Arial"/>
          <w:color w:val="2C3338"/>
          <w:sz w:val="21"/>
          <w:szCs w:val="21"/>
        </w:rPr>
        <w:t xml:space="preserve">Then open the $9–19 door with visit credit.</w:t>
      </w:r>
    </w:p>
    <w:p>
      <w:pPr>
        <w:pStyle w:val="ListParagraph"/>
        <w:numPr>
          <w:ilvl w:val="0"/>
          <w:numId w:val="2"/>
        </w:numPr>
        <w:spacing w:after="80" w:line="260"/>
      </w:pPr>
      <w:r>
        <w:rPr>
          <w:rFonts w:ascii="Arial" w:cs="Arial" w:eastAsia="Arial" w:hAnsi="Arial"/>
          <w:color w:val="2C3338"/>
          <w:sz w:val="21"/>
          <w:szCs w:val="21"/>
        </w:rPr>
        <w:t xml:space="preserve">Next doors: post-op “is this normal?”, referral filter, intra-group routing, night coverage.</w:t>
      </w:r>
    </w:p>
    <w:p>
      <w:pPr>
        <w:pStyle w:val="ListParagraph"/>
        <w:numPr>
          <w:ilvl w:val="0"/>
          <w:numId w:val="2"/>
        </w:numPr>
        <w:spacing w:after="80" w:line="260"/>
      </w:pPr>
      <w:r>
        <w:rPr>
          <w:rFonts w:ascii="Arial" w:cs="Arial" w:eastAsia="Arial" w:hAnsi="Arial"/>
          <w:color w:val="2C3338"/>
          <w:sz w:val="21"/>
          <w:szCs w:val="21"/>
        </w:rPr>
        <w:t xml:space="preserve">Hospital unlock: missed-surgery audit — who we sent away that operated elsewhere in 12 months.</w:t>
      </w:r>
    </w:p>
    <w:p>
      <w:pPr>
        <w:pStyle w:val="Heading1"/>
        <w:pBdr>
          <w:bottom w:val="single" w:color="0F5C6B" w:sz="12" w:space="6"/>
        </w:pBdr>
        <w:spacing w:after="160" w:before="360"/>
      </w:pPr>
      <w:r>
        <w:rPr>
          <w:rFonts w:ascii="Arial" w:cs="Arial" w:eastAsia="Arial" w:hAnsi="Arial"/>
          <w:b/>
          <w:bCs/>
          <w:color w:val="1B365D"/>
          <w:sz w:val="28"/>
          <w:szCs w:val="28"/>
        </w:rPr>
        <w:t xml:space="preserve">11. Implementation and ongoing maintenance (do not understate)</w:t>
      </w:r>
    </w:p>
    <w:p>
      <w:pPr>
        <w:spacing w:after="160" w:before="0" w:line="276"/>
      </w:pPr>
      <w:r>
        <w:rPr>
          <w:rFonts w:ascii="Arial" w:cs="Arial" w:eastAsia="Arial" w:hAnsi="Arial"/>
          <w:color w:val="2C3338"/>
          <w:sz w:val="22"/>
          <w:szCs w:val="22"/>
        </w:rPr>
        <w:t xml:space="preserve">Agent-written code does not make this a $2k setup. The hard work is clinical, not CRUD.</w:t>
      </w:r>
    </w:p>
    <w:p>
      <w:pPr>
        <w:pStyle w:val="Heading2"/>
        <w:spacing w:after="120" w:before="280"/>
      </w:pPr>
      <w:r>
        <w:rPr>
          <w:rFonts w:ascii="Arial" w:cs="Arial" w:eastAsia="Arial" w:hAnsi="Arial"/>
          <w:b/>
          <w:bCs/>
          <w:color w:val="0F5C6B"/>
          <w:sz w:val="24"/>
          <w:szCs w:val="24"/>
        </w:rPr>
        <w:t xml:space="preserve">Implementation per surgeon (expected $8k–15k cost to deliver)</w:t>
      </w:r>
    </w:p>
    <w:p>
      <w:pPr>
        <w:pStyle w:val="ListParagraph"/>
        <w:numPr>
          <w:ilvl w:val="0"/>
          <w:numId w:val="2"/>
        </w:numPr>
        <w:spacing w:after="80" w:line="260"/>
      </w:pPr>
      <w:r>
        <w:rPr>
          <w:rFonts w:ascii="Arial" w:cs="Arial" w:eastAsia="Arial" w:hAnsi="Arial"/>
          <w:color w:val="2C3338"/>
          <w:sz w:val="21"/>
          <w:szCs w:val="21"/>
        </w:rPr>
        <w:t xml:space="preserve">Export and de-identify years of dictations / op notes.</w:t>
      </w:r>
    </w:p>
    <w:p>
      <w:pPr>
        <w:pStyle w:val="ListParagraph"/>
        <w:numPr>
          <w:ilvl w:val="0"/>
          <w:numId w:val="2"/>
        </w:numPr>
        <w:spacing w:after="80" w:line="260"/>
      </w:pPr>
      <w:r>
        <w:rPr>
          <w:rFonts w:ascii="Arial" w:cs="Arial" w:eastAsia="Arial" w:hAnsi="Arial"/>
          <w:color w:val="2C3338"/>
          <w:sz w:val="21"/>
          <w:szCs w:val="21"/>
        </w:rPr>
        <w:t xml:space="preserve">Surgeon attestation time — they must mark calls they stand behind. That is not free.</w:t>
      </w:r>
    </w:p>
    <w:p>
      <w:pPr>
        <w:pStyle w:val="ListParagraph"/>
        <w:numPr>
          <w:ilvl w:val="0"/>
          <w:numId w:val="2"/>
        </w:numPr>
        <w:spacing w:after="80" w:line="260"/>
      </w:pPr>
      <w:r>
        <w:rPr>
          <w:rFonts w:ascii="Arial" w:cs="Arial" w:eastAsia="Arial" w:hAnsi="Arial"/>
          <w:color w:val="2C3338"/>
          <w:sz w:val="21"/>
          <w:szCs w:val="21"/>
        </w:rPr>
        <w:t xml:space="preserve">Ontology: laterality, implants, their slang, their “I never operate on X.”</w:t>
      </w:r>
    </w:p>
    <w:p>
      <w:pPr>
        <w:pStyle w:val="ListParagraph"/>
        <w:numPr>
          <w:ilvl w:val="0"/>
          <w:numId w:val="2"/>
        </w:numPr>
        <w:spacing w:after="80" w:line="260"/>
      </w:pPr>
      <w:r>
        <w:rPr>
          <w:rFonts w:ascii="Arial" w:cs="Arial" w:eastAsia="Arial" w:hAnsi="Arial"/>
          <w:color w:val="2C3338"/>
          <w:sz w:val="21"/>
          <w:szCs w:val="21"/>
        </w:rPr>
        <w:t xml:space="preserve">Holdout build and review session.</w:t>
      </w:r>
    </w:p>
    <w:p>
      <w:pPr>
        <w:pStyle w:val="ListParagraph"/>
        <w:numPr>
          <w:ilvl w:val="0"/>
          <w:numId w:val="2"/>
        </w:numPr>
        <w:spacing w:after="80" w:line="260"/>
      </w:pPr>
      <w:r>
        <w:rPr>
          <w:rFonts w:ascii="Arial" w:cs="Arial" w:eastAsia="Arial" w:hAnsi="Arial"/>
          <w:color w:val="2C3338"/>
          <w:sz w:val="21"/>
          <w:szCs w:val="21"/>
        </w:rPr>
        <w:t xml:space="preserve">Scheduling hook so “book” and “visit confirmed” are not a spreadsheet.</w:t>
      </w:r>
    </w:p>
    <w:p>
      <w:pPr>
        <w:spacing w:after="160" w:before="0" w:line="276"/>
      </w:pPr>
      <w:r>
        <w:rPr>
          <w:rFonts w:ascii="Arial" w:cs="Arial" w:eastAsia="Arial" w:hAnsi="Arial"/>
          <w:color w:val="2C3338"/>
          <w:sz w:val="22"/>
          <w:szCs w:val="22"/>
        </w:rPr>
        <w:t xml:space="preserve">List price $8k–15k. Early co-inventor twins may be discounted; the cost does not go away.</w:t>
      </w:r>
    </w:p>
    <w:p>
      <w:pPr>
        <w:pStyle w:val="Heading2"/>
        <w:spacing w:after="120" w:before="280"/>
      </w:pPr>
      <w:r>
        <w:rPr>
          <w:rFonts w:ascii="Arial" w:cs="Arial" w:eastAsia="Arial" w:hAnsi="Arial"/>
          <w:b/>
          <w:bCs/>
          <w:color w:val="0F5C6B"/>
          <w:sz w:val="24"/>
          <w:szCs w:val="24"/>
        </w:rPr>
        <w:t xml:space="preserve">Ongoing maintenance (the number that kills thin SaaS)</w:t>
      </w:r>
    </w:p>
    <w:p>
      <w:pPr>
        <w:pStyle w:val="ListParagraph"/>
        <w:numPr>
          <w:ilvl w:val="0"/>
          <w:numId w:val="2"/>
        </w:numPr>
        <w:spacing w:after="80" w:line="260"/>
      </w:pPr>
      <w:r>
        <w:rPr>
          <w:rFonts w:ascii="Arial" w:cs="Arial" w:eastAsia="Arial" w:hAnsi="Arial"/>
          <w:color w:val="2C3338"/>
          <w:sz w:val="21"/>
          <w:szCs w:val="21"/>
        </w:rPr>
        <w:t xml:space="preserve">Inference + medical ASR + AWS: $30–80 per surgeon per month at small scale.</w:t>
      </w:r>
    </w:p>
    <w:p>
      <w:pPr>
        <w:pStyle w:val="ListParagraph"/>
        <w:numPr>
          <w:ilvl w:val="0"/>
          <w:numId w:val="2"/>
        </w:numPr>
        <w:spacing w:after="80" w:line="260"/>
      </w:pPr>
      <w:r>
        <w:rPr>
          <w:rFonts w:ascii="Arial" w:cs="Arial" w:eastAsia="Arial" w:hAnsi="Arial"/>
          <w:color w:val="2C3338"/>
          <w:sz w:val="21"/>
          <w:szCs w:val="21"/>
        </w:rPr>
        <w:t xml:space="preserve">Drift: they change implants, partners, and thresholds. Re-attest quarterly.</w:t>
      </w:r>
    </w:p>
    <w:p>
      <w:pPr>
        <w:pStyle w:val="ListParagraph"/>
        <w:numPr>
          <w:ilvl w:val="0"/>
          <w:numId w:val="2"/>
        </w:numPr>
        <w:spacing w:after="80" w:line="260"/>
      </w:pPr>
      <w:r>
        <w:rPr>
          <w:rFonts w:ascii="Arial" w:cs="Arial" w:eastAsia="Arial" w:hAnsi="Arial"/>
          <w:color w:val="2C3338"/>
          <w:sz w:val="21"/>
          <w:szCs w:val="21"/>
        </w:rPr>
        <w:t xml:space="preserve">Note-format changes when they switch EHR or scribe vendor.</w:t>
      </w:r>
    </w:p>
    <w:p>
      <w:pPr>
        <w:pStyle w:val="ListParagraph"/>
        <w:numPr>
          <w:ilvl w:val="0"/>
          <w:numId w:val="2"/>
        </w:numPr>
        <w:spacing w:after="80" w:line="260"/>
      </w:pPr>
      <w:r>
        <w:rPr>
          <w:rFonts w:ascii="Arial" w:cs="Arial" w:eastAsia="Arial" w:hAnsi="Arial"/>
          <w:color w:val="2C3338"/>
          <w:sz w:val="21"/>
          <w:szCs w:val="21"/>
        </w:rPr>
        <w:t xml:space="preserve">Edge-case review when the twin is unsure — a human still reads those.</w:t>
      </w:r>
    </w:p>
    <w:p>
      <w:pPr>
        <w:pStyle w:val="ListParagraph"/>
        <w:numPr>
          <w:ilvl w:val="0"/>
          <w:numId w:val="2"/>
        </w:numPr>
        <w:spacing w:after="80" w:line="260"/>
      </w:pPr>
      <w:r>
        <w:rPr>
          <w:rFonts w:ascii="Arial" w:cs="Arial" w:eastAsia="Arial" w:hAnsi="Arial"/>
          <w:color w:val="2C3338"/>
          <w:sz w:val="21"/>
          <w:szCs w:val="21"/>
        </w:rPr>
        <w:t xml:space="preserve">Uptime, audit logs, model-vendor swaps, prompt regressions, iOS/HealthKit OS changes.</w:t>
      </w:r>
    </w:p>
    <w:p>
      <w:pPr>
        <w:pStyle w:val="ListParagraph"/>
        <w:numPr>
          <w:ilvl w:val="0"/>
          <w:numId w:val="2"/>
        </w:numPr>
        <w:spacing w:after="80" w:line="260"/>
      </w:pPr>
      <w:r>
        <w:rPr>
          <w:rFonts w:ascii="Arial" w:cs="Arial" w:eastAsia="Arial" w:hAnsi="Arial"/>
          <w:color w:val="2C3338"/>
          <w:sz w:val="21"/>
          <w:szCs w:val="21"/>
        </w:rPr>
        <w:t xml:space="preserve">Support to the practice manager, not just the surgeon.</w:t>
      </w:r>
    </w:p>
    <w:p>
      <w:pPr>
        <w:spacing w:after="160" w:before="0" w:line="276"/>
      </w:pPr>
      <w:r>
        <w:rPr>
          <w:rFonts w:ascii="Arial" w:cs="Arial" w:eastAsia="Arial" w:hAnsi="Arial"/>
          <w:color w:val="2C3338"/>
          <w:sz w:val="22"/>
          <w:szCs w:val="22"/>
        </w:rPr>
        <w:t xml:space="preserve">Budget ongoing delivery at $150–250 per surgeon per month in years 1–2 (people + vendors + cloud), falling toward $80–120 as tooling improves. A $499–799 price that ignores this is a vanity price.</w:t>
      </w:r>
    </w:p>
    <w:p>
      <w:pPr>
        <w:spacing w:after="160" w:before="0" w:line="276"/>
      </w:pPr>
      <w:r>
        <w:rPr>
          <w:rFonts w:ascii="Arial" w:cs="Arial" w:eastAsia="Arial" w:hAnsi="Arial"/>
          <w:color w:val="2C3338"/>
          <w:sz w:val="22"/>
          <w:szCs w:val="22"/>
        </w:rPr>
        <w:t xml:space="preserve">Company-level keep-the-lights-on (entity, insurance, BAAs, Apple developer, security review, accounting): $60k–120k per year even with no staff besides founders.</w:t>
      </w:r>
    </w:p>
    <w:p>
      <w:pPr>
        <w:pStyle w:val="Heading1"/>
        <w:pBdr>
          <w:bottom w:val="single" w:color="0F5C6B" w:sz="12" w:space="6"/>
        </w:pBdr>
        <w:spacing w:after="160" w:before="360"/>
      </w:pPr>
      <w:r>
        <w:rPr>
          <w:rFonts w:ascii="Arial" w:cs="Arial" w:eastAsia="Arial" w:hAnsi="Arial"/>
          <w:b/>
          <w:bCs/>
          <w:color w:val="1B365D"/>
          <w:sz w:val="28"/>
          <w:szCs w:val="28"/>
        </w:rPr>
        <w:t xml:space="preserve">12. Entity, inventors, patents, IP</w:t>
      </w:r>
    </w:p>
    <w:p>
      <w:pPr>
        <w:pStyle w:val="Heading2"/>
        <w:spacing w:after="120" w:before="280"/>
      </w:pPr>
      <w:r>
        <w:rPr>
          <w:rFonts w:ascii="Arial" w:cs="Arial" w:eastAsia="Arial" w:hAnsi="Arial"/>
          <w:b/>
          <w:bCs/>
          <w:color w:val="0F5C6B"/>
          <w:sz w:val="24"/>
          <w:szCs w:val="24"/>
        </w:rPr>
        <w:t xml:space="preserve">Form the company first</w:t>
      </w:r>
    </w:p>
    <w:p>
      <w:pPr>
        <w:pStyle w:val="ListParagraph"/>
        <w:numPr>
          <w:ilvl w:val="0"/>
          <w:numId w:val="2"/>
        </w:numPr>
        <w:spacing w:after="80" w:line="260"/>
      </w:pPr>
      <w:r>
        <w:rPr>
          <w:rFonts w:ascii="Arial" w:cs="Arial" w:eastAsia="Arial" w:hAnsi="Arial"/>
          <w:color w:val="2C3338"/>
          <w:sz w:val="21"/>
          <w:szCs w:val="21"/>
        </w:rPr>
        <w:t xml:space="preserve">Two inventors: do not run this as a handshake. Form an entity before any corpus, code, or raise.</w:t>
      </w:r>
    </w:p>
    <w:p>
      <w:pPr>
        <w:pStyle w:val="ListParagraph"/>
        <w:numPr>
          <w:ilvl w:val="0"/>
          <w:numId w:val="2"/>
        </w:numPr>
        <w:spacing w:after="80" w:line="260"/>
      </w:pPr>
      <w:r>
        <w:rPr>
          <w:rFonts w:ascii="Arial" w:cs="Arial" w:eastAsia="Arial" w:hAnsi="Arial"/>
          <w:color w:val="2C3338"/>
          <w:sz w:val="21"/>
          <w:szCs w:val="21"/>
        </w:rPr>
        <w:t xml:space="preserve">If the plan is to raise from funds: Delaware C-Corporation is what investors expect.</w:t>
      </w:r>
    </w:p>
    <w:p>
      <w:pPr>
        <w:pStyle w:val="ListParagraph"/>
        <w:numPr>
          <w:ilvl w:val="0"/>
          <w:numId w:val="2"/>
        </w:numPr>
        <w:spacing w:after="80" w:line="260"/>
      </w:pPr>
      <w:r>
        <w:rPr>
          <w:rFonts w:ascii="Arial" w:cs="Arial" w:eastAsia="Arial" w:hAnsi="Arial"/>
          <w:color w:val="2C3338"/>
          <w:sz w:val="21"/>
          <w:szCs w:val="21"/>
        </w:rPr>
        <w:t xml:space="preserve">If the plan is to stay founder-owned and take profits: an LLC can work. Convert later if a priced round demands it.</w:t>
      </w:r>
    </w:p>
    <w:p>
      <w:pPr>
        <w:pStyle w:val="ListParagraph"/>
        <w:numPr>
          <w:ilvl w:val="0"/>
          <w:numId w:val="2"/>
        </w:numPr>
        <w:spacing w:after="80" w:line="260"/>
      </w:pPr>
      <w:r>
        <w:rPr>
          <w:rFonts w:ascii="Arial" w:cs="Arial" w:eastAsia="Arial" w:hAnsi="Arial"/>
          <w:color w:val="2C3338"/>
          <w:sz w:val="21"/>
          <w:szCs w:val="21"/>
        </w:rPr>
        <w:t xml:space="preserve">Operating agreement or founder stock: split, vesting (standard four-year / one-year cliff), who can bind the company, what happens if one inventor leaves.</w:t>
      </w:r>
    </w:p>
    <w:p>
      <w:pPr>
        <w:pStyle w:val="ListParagraph"/>
        <w:numPr>
          <w:ilvl w:val="0"/>
          <w:numId w:val="2"/>
        </w:numPr>
        <w:spacing w:after="80" w:line="260"/>
      </w:pPr>
      <w:r>
        <w:rPr>
          <w:rFonts w:ascii="Arial" w:cs="Arial" w:eastAsia="Arial" w:hAnsi="Arial"/>
          <w:color w:val="2C3338"/>
          <w:sz w:val="21"/>
          <w:szCs w:val="21"/>
        </w:rPr>
        <w:t xml:space="preserve">Written IP assignment from BPD, HRS, and any contractor / agent-session that produces code into the company. If it is not assigned, it is not the company’s.</w:t>
      </w:r>
    </w:p>
    <w:p>
      <w:pPr>
        <w:pStyle w:val="Heading2"/>
        <w:spacing w:after="120" w:before="280"/>
      </w:pPr>
      <w:r>
        <w:rPr>
          <w:rFonts w:ascii="Arial" w:cs="Arial" w:eastAsia="Arial" w:hAnsi="Arial"/>
          <w:b/>
          <w:bCs/>
          <w:color w:val="0F5C6B"/>
          <w:sz w:val="24"/>
          <w:szCs w:val="24"/>
        </w:rPr>
        <w:t xml:space="preserve">What is actually protectable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800"/>
        <w:gridCol w:w="4600"/>
        <w:gridCol w:w="2680"/>
      </w:tblGrid>
      <w:tr>
        <w:tc>
          <w:tcPr>
            <w:tcW w:type="dxa" w:w="280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Asset</w:t>
            </w:r>
          </w:p>
        </w:tc>
        <w:tc>
          <w:tcPr>
            <w:tcW w:type="dxa" w:w="460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How we protect it</w:t>
            </w:r>
          </w:p>
        </w:tc>
        <w:tc>
          <w:tcPr>
            <w:tcW w:type="dxa" w:w="268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Strength</w:t>
            </w:r>
          </w:p>
        </w:tc>
      </w:tr>
      <w:tr>
        <w:tc>
          <w:tcPr>
            <w:tcW w:type="dxa" w:w="28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Name DictatOR / dictat-or.com</w:t>
            </w:r>
          </w:p>
        </w:tc>
        <w:tc>
          <w:tcPr>
            <w:tcW w:type="dxa" w:w="46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Trademark search + federal TM filing</w:t>
            </w:r>
          </w:p>
        </w:tc>
        <w:tc>
          <w:tcPr>
            <w:tcW w:type="dxa" w:w="26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Good if we use it in commerce</w:t>
            </w:r>
          </w:p>
        </w:tc>
      </w:tr>
      <w:tr>
        <w:tc>
          <w:tcPr>
            <w:tcW w:type="dxa" w:w="28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Code, prompts, eval harness</w:t>
            </w:r>
          </w:p>
        </w:tc>
        <w:tc>
          <w:tcPr>
            <w:tcW w:type="dxa" w:w="46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Copyright (automatic) + assignment + repo access control</w:t>
            </w:r>
          </w:p>
        </w:tc>
        <w:tc>
          <w:tcPr>
            <w:tcW w:type="dxa" w:w="26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Good against straight copies</w:t>
            </w:r>
          </w:p>
        </w:tc>
      </w:tr>
      <w:tr>
        <w:tc>
          <w:tcPr>
            <w:tcW w:type="dxa" w:w="28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Attested dictation corpora</w:t>
            </w:r>
          </w:p>
        </w:tc>
        <w:tc>
          <w:tcPr>
            <w:tcW w:type="dxa" w:w="46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Contract + trade secret. Never train a vendor model on them without a BAA and a no-train clause</w:t>
            </w:r>
          </w:p>
        </w:tc>
        <w:tc>
          <w:tcPr>
            <w:tcW w:type="dxa" w:w="26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Best moat we have</w:t>
            </w:r>
          </w:p>
        </w:tc>
      </w:tr>
      <w:tr>
        <w:tc>
          <w:tcPr>
            <w:tcW w:type="dxa" w:w="28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Method: twin from attested dictations + operate-vs-not filter + sign loop</w:t>
            </w:r>
          </w:p>
        </w:tc>
        <w:tc>
          <w:tcPr>
            <w:tcW w:type="dxa" w:w="46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U.S. provisional patent within 12 months of public pitch, then utility if claims survive Alice</w:t>
            </w:r>
          </w:p>
        </w:tc>
        <w:tc>
          <w:tcPr>
            <w:tcW w:type="dxa" w:w="26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Possible, not guaranteed. Software-as-such is weak.</w:t>
            </w:r>
          </w:p>
        </w:tc>
      </w:tr>
      <w:tr>
        <w:tc>
          <w:tcPr>
            <w:tcW w:type="dxa" w:w="28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Per-surgeon threshold / slang</w:t>
            </w:r>
          </w:p>
        </w:tc>
        <w:tc>
          <w:tcPr>
            <w:tcW w:type="dxa" w:w="46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Trade secret. Do not publish examples that reconstruct a surgeon.</w:t>
            </w:r>
          </w:p>
        </w:tc>
        <w:tc>
          <w:tcPr>
            <w:tcW w:type="dxa" w:w="26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Strong if we shut up</w:t>
            </w:r>
          </w:p>
        </w:tc>
      </w:tr>
    </w:tbl>
    <w:p>
      <w:pPr>
        <w:spacing w:after="160" w:before="160" w:line="276"/>
      </w:pPr>
      <w:r>
        <w:rPr>
          <w:rFonts w:ascii="Arial" w:cs="Arial" w:eastAsia="Arial" w:hAnsi="Arial"/>
          <w:color w:val="2C3338"/>
          <w:sz w:val="22"/>
          <w:szCs w:val="22"/>
        </w:rPr>
        <w:t xml:space="preserve">Patents: yes, software methods can be patented in the U.S. if they are a specific technical process, not “do diagnosis on a computer.” Budget $8k–15k for a serious provisional + search, $20k–40k+ to file a utility and prosecute. Europe is much harder for software-as-such. Do not pitch “we have a patent” until we have a filing. Do not demo the method publicly before the provisional if we want that filing to matter.</w:t>
      </w:r>
    </w:p>
    <w:p>
      <w:pPr>
        <w:spacing w:after="160" w:before="0" w:line="276"/>
      </w:pPr>
      <w:r>
        <w:rPr>
          <w:rFonts w:ascii="Arial" w:cs="Arial" w:eastAsia="Arial" w:hAnsi="Arial"/>
          <w:color w:val="2C3338"/>
          <w:sz w:val="22"/>
          <w:szCs w:val="22"/>
        </w:rPr>
        <w:t xml:space="preserve">This section is a plan, not legal advice. A healthcare/startup attorney does the filings.</w:t>
      </w:r>
    </w:p>
    <w:p>
      <w:pPr>
        <w:pStyle w:val="Heading1"/>
        <w:pBdr>
          <w:bottom w:val="single" w:color="0F5C6B" w:sz="12" w:space="6"/>
        </w:pBdr>
        <w:spacing w:after="160" w:before="360"/>
      </w:pPr>
      <w:r>
        <w:rPr>
          <w:rFonts w:ascii="Arial" w:cs="Arial" w:eastAsia="Arial" w:hAnsi="Arial"/>
          <w:b/>
          <w:bCs/>
          <w:color w:val="1B365D"/>
          <w:sz w:val="28"/>
          <w:szCs w:val="28"/>
        </w:rPr>
        <w:t xml:space="preserve">13. Product and technical plan</w:t>
      </w:r>
    </w:p>
    <w:p>
      <w:pPr>
        <w:spacing w:after="160" w:before="0" w:line="276"/>
      </w:pPr>
      <w:r>
        <w:rPr>
          <w:rFonts w:ascii="Arial" w:cs="Arial" w:eastAsia="Arial" w:hAnsi="Arial"/>
          <w:color w:val="2C3338"/>
          <w:sz w:val="22"/>
          <w:szCs w:val="22"/>
        </w:rPr>
        <w:t xml:space="preserve">One frozen base model. One corpus per surgeon. Always filter by surgeon_id. Serverless AWS (Lambda, Aurora Serverless + pgvector, S3, Cognito, Transcribe Medical, Bedrock with BAA). xAI/Grok only after BAA + zero-retention. Agent-built. HealthKit and Sign in with Apple on the patient iOS door after the web loop works.</w:t>
      </w:r>
    </w:p>
    <w:p>
      <w:pPr>
        <w:spacing w:after="160" w:before="0" w:line="276"/>
      </w:pPr>
      <w:r>
        <w:rPr>
          <w:rFonts w:ascii="Arial" w:cs="Arial" w:eastAsia="Arial" w:hAnsi="Arial"/>
          <w:color w:val="2C3338"/>
          <w:sz w:val="22"/>
          <w:szCs w:val="22"/>
        </w:rPr>
        <w:t xml:space="preserve">Pilot: de-identified notes only. No BAA required for that sandbox. No real identifiers until BAAs exist.</w:t>
      </w:r>
    </w:p>
    <w:p>
      <w:pPr>
        <w:pStyle w:val="Heading1"/>
        <w:pBdr>
          <w:bottom w:val="single" w:color="0F5C6B" w:sz="12" w:space="6"/>
        </w:pBdr>
        <w:spacing w:after="160" w:before="360"/>
      </w:pPr>
      <w:r>
        <w:rPr>
          <w:rFonts w:ascii="Arial" w:cs="Arial" w:eastAsia="Arial" w:hAnsi="Arial"/>
          <w:b/>
          <w:bCs/>
          <w:color w:val="1B365D"/>
          <w:sz w:val="28"/>
          <w:szCs w:val="28"/>
        </w:rPr>
        <w:t xml:space="preserve">14. Revenue and profit — three scenarios</w:t>
      </w:r>
    </w:p>
    <w:p>
      <w:pPr>
        <w:spacing w:after="160" w:before="0" w:line="276"/>
      </w:pPr>
      <w:r>
        <w:rPr>
          <w:rFonts w:ascii="Arial" w:cs="Arial" w:eastAsia="Arial" w:hAnsi="Arial"/>
          <w:color w:val="2C3338"/>
          <w:sz w:val="22"/>
          <w:szCs w:val="22"/>
        </w:rPr>
        <w:t xml:space="preserve">Pre-revenue. These are planning cases, not a forecast from customers we do not have. They assume we actually spend money on implementation, maintenance, entity, and insurance — not a two-person weekend app.</w:t>
      </w:r>
    </w:p>
    <w:p>
      <w:pPr>
        <w:spacing w:after="160" w:before="0" w:line="276"/>
      </w:pPr>
      <w:r>
        <w:rPr>
          <w:rFonts w:ascii="Arial" w:cs="Arial" w:eastAsia="Arial" w:hAnsi="Arial"/>
          <w:color w:val="2C3338"/>
          <w:sz w:val="22"/>
          <w:szCs w:val="22"/>
        </w:rPr>
        <w:t xml:space="preserve">Definitions: Pessimistic = holdout disappoints or surgeons will not attest. Expected = one co-inventor twin works, slow paid rollout. Optimistic = holdout lands, the door converts, a group follows.</w:t>
      </w:r>
    </w:p>
    <w:p>
      <w:pPr>
        <w:pStyle w:val="Heading2"/>
        <w:spacing w:after="120" w:before="280"/>
      </w:pPr>
      <w:r>
        <w:rPr>
          <w:rFonts w:ascii="Arial" w:cs="Arial" w:eastAsia="Arial" w:hAnsi="Arial"/>
          <w:b/>
          <w:bCs/>
          <w:color w:val="0F5C6B"/>
          <w:sz w:val="24"/>
          <w:szCs w:val="24"/>
        </w:rPr>
        <w:t xml:space="preserve">Operating assumptions baked in</w:t>
      </w:r>
    </w:p>
    <w:p>
      <w:pPr>
        <w:pStyle w:val="ListParagraph"/>
        <w:numPr>
          <w:ilvl w:val="0"/>
          <w:numId w:val="2"/>
        </w:numPr>
        <w:spacing w:after="80" w:line="260"/>
      </w:pPr>
      <w:r>
        <w:rPr>
          <w:rFonts w:ascii="Arial" w:cs="Arial" w:eastAsia="Arial" w:hAnsi="Arial"/>
          <w:color w:val="2C3338"/>
          <w:sz w:val="21"/>
          <w:szCs w:val="21"/>
        </w:rPr>
        <w:t xml:space="preserve">Implementation cost recognized as we deliver twins, not as free founder labor.</w:t>
      </w:r>
    </w:p>
    <w:p>
      <w:pPr>
        <w:pStyle w:val="ListParagraph"/>
        <w:numPr>
          <w:ilvl w:val="0"/>
          <w:numId w:val="2"/>
        </w:numPr>
        <w:spacing w:after="80" w:line="260"/>
      </w:pPr>
      <w:r>
        <w:rPr>
          <w:rFonts w:ascii="Arial" w:cs="Arial" w:eastAsia="Arial" w:hAnsi="Arial"/>
          <w:color w:val="2C3338"/>
          <w:sz w:val="21"/>
          <w:szCs w:val="21"/>
        </w:rPr>
        <w:t>Patient door: company keeps 100% of the $9–19. The practice may discount its own visit; we do not refund the door fee. Door volume in the tables is still conservative (doors per surgeon per month, not 40,000 surgeons).</w:t>
      </w:r>
    </w:p>
    <w:p>
      <w:pPr>
        <w:pStyle w:val="ListParagraph"/>
        <w:numPr>
          <w:ilvl w:val="0"/>
          <w:numId w:val="2"/>
        </w:numPr>
        <w:spacing w:after="80" w:line="260"/>
      </w:pPr>
      <w:r>
        <w:rPr>
          <w:rFonts w:ascii="Arial" w:cs="Arial" w:eastAsia="Arial" w:hAnsi="Arial"/>
          <w:color w:val="2C3338"/>
          <w:sz w:val="21"/>
          <w:szCs w:val="21"/>
        </w:rPr>
        <w:t xml:space="preserve">Year 1 includes LLC/C-Corp, insurance, provisional IP, Apple developer, AWS — ~$80k–140k company opex even thin.</w:t>
      </w:r>
    </w:p>
    <w:p>
      <w:pPr>
        <w:pStyle w:val="ListParagraph"/>
        <w:numPr>
          <w:ilvl w:val="0"/>
          <w:numId w:val="2"/>
        </w:numPr>
        <w:spacing w:after="80" w:line="260"/>
      </w:pPr>
      <w:r>
        <w:rPr>
          <w:rFonts w:ascii="Arial" w:cs="Arial" w:eastAsia="Arial" w:hAnsi="Arial"/>
          <w:color w:val="2C3338"/>
          <w:sz w:val="21"/>
          <w:szCs w:val="21"/>
        </w:rPr>
        <w:t xml:space="preserve">No IDN contract in expected or pessimistic. Optimistic year 3 allows one small system deal.</w:t>
      </w:r>
    </w:p>
    <w:p>
      <w:pPr>
        <w:pStyle w:val="Heading2"/>
        <w:spacing w:after="120" w:before="280"/>
      </w:pPr>
      <w:r>
        <w:rPr>
          <w:rFonts w:ascii="Arial" w:cs="Arial" w:eastAsia="Arial" w:hAnsi="Arial"/>
          <w:b/>
          <w:bCs/>
          <w:color w:val="0F5C6B"/>
          <w:sz w:val="24"/>
          <w:szCs w:val="24"/>
        </w:rPr>
        <w:t xml:space="preserve">Pessimistic</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880"/>
        <w:gridCol w:w="2400"/>
        <w:gridCol w:w="2400"/>
        <w:gridCol w:w="2400"/>
      </w:tblGrid>
      <w:tr>
        <w:tc>
          <w:tcPr>
            <w:tcW w:type="dxa" w:w="288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
            </w:r>
          </w:p>
        </w:tc>
        <w:tc>
          <w:tcPr>
            <w:tcW w:type="dxa" w:w="240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Year 1</w:t>
            </w:r>
          </w:p>
        </w:tc>
        <w:tc>
          <w:tcPr>
            <w:tcW w:type="dxa" w:w="240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Year 2</w:t>
            </w:r>
          </w:p>
        </w:tc>
        <w:tc>
          <w:tcPr>
            <w:tcW w:type="dxa" w:w="240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Year 3</w:t>
            </w:r>
          </w:p>
        </w:tc>
      </w:tr>
      <w:tr>
        <w:tc>
          <w:tcPr>
            <w:tcW w:type="dxa" w:w="28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Paying surgeons (avg)</w:t>
            </w:r>
          </w:p>
        </w:tc>
        <w:tc>
          <w:tcPr>
            <w:tcW w:type="dxa" w:w="24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0</w:t>
            </w:r>
          </w:p>
        </w:tc>
        <w:tc>
          <w:tcPr>
            <w:tcW w:type="dxa" w:w="24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8</w:t>
            </w:r>
          </w:p>
        </w:tc>
        <w:tc>
          <w:tcPr>
            <w:tcW w:type="dxa" w:w="24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20</w:t>
            </w:r>
          </w:p>
        </w:tc>
      </w:tr>
      <w:tr>
        <w:tc>
          <w:tcPr>
            <w:tcW w:type="dxa" w:w="28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Revenue</w:t>
            </w:r>
          </w:p>
        </w:tc>
        <w:tc>
          <w:tcPr>
            <w:tcW w:type="dxa" w:w="24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$0</w:t>
            </w:r>
          </w:p>
        </w:tc>
        <w:tc>
          <w:tcPr>
            <w:tcW w:type="dxa" w:w="24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$70k</w:t>
            </w:r>
          </w:p>
        </w:tc>
        <w:tc>
          <w:tcPr>
            <w:tcW w:type="dxa" w:w="24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$220k</w:t>
            </w:r>
          </w:p>
        </w:tc>
      </w:tr>
      <w:tr>
        <w:tc>
          <w:tcPr>
            <w:tcW w:type="dxa" w:w="28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Impl + cloud + maint + opex</w:t>
            </w:r>
          </w:p>
        </w:tc>
        <w:tc>
          <w:tcPr>
            <w:tcW w:type="dxa" w:w="24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$90k</w:t>
            </w:r>
          </w:p>
        </w:tc>
        <w:tc>
          <w:tcPr>
            <w:tcW w:type="dxa" w:w="24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$180k</w:t>
            </w:r>
          </w:p>
        </w:tc>
        <w:tc>
          <w:tcPr>
            <w:tcW w:type="dxa" w:w="24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$240k</w:t>
            </w:r>
          </w:p>
        </w:tc>
      </w:tr>
      <w:tr>
        <w:tc>
          <w:tcPr>
            <w:tcW w:type="dxa" w:w="28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Profit / (loss)</w:t>
            </w:r>
          </w:p>
        </w:tc>
        <w:tc>
          <w:tcPr>
            <w:tcW w:type="dxa" w:w="24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($90k)</w:t>
            </w:r>
          </w:p>
        </w:tc>
        <w:tc>
          <w:tcPr>
            <w:tcW w:type="dxa" w:w="24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($110k)</w:t>
            </w:r>
          </w:p>
        </w:tc>
        <w:tc>
          <w:tcPr>
            <w:tcW w:type="dxa" w:w="24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($20k)</w:t>
            </w:r>
          </w:p>
        </w:tc>
      </w:tr>
    </w:tbl>
    <w:p>
      <w:pPr>
        <w:spacing w:after="160" w:before="140" w:line="276"/>
      </w:pPr>
      <w:r>
        <w:rPr>
          <w:rFonts w:ascii="Arial" w:cs="Arial" w:eastAsia="Arial" w:hAnsi="Arial"/>
          <w:color w:val="2C3338"/>
          <w:sz w:val="22"/>
          <w:szCs w:val="22"/>
        </w:rPr>
        <w:t xml:space="preserve">How we get here: holdout is “close but not them.” We keep building. Door never opens. Cash burn is legal, cloud, and founder-funded impl.</w:t>
      </w:r>
    </w:p>
    <w:p>
      <w:pPr>
        <w:pStyle w:val="Heading2"/>
        <w:spacing w:after="120" w:before="280"/>
      </w:pPr>
      <w:r>
        <w:rPr>
          <w:rFonts w:ascii="Arial" w:cs="Arial" w:eastAsia="Arial" w:hAnsi="Arial"/>
          <w:b/>
          <w:bCs/>
          <w:color w:val="0F5C6B"/>
          <w:sz w:val="24"/>
          <w:szCs w:val="24"/>
        </w:rPr>
        <w:t xml:space="preserve">Expected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00"/>
        <w:gridCol w:w="1960"/>
        <w:gridCol w:w="1960"/>
        <w:gridCol w:w="1960"/>
      </w:tblGrid>
      <w:tr>
        <w:tc>
          <w:tcPr>
            <w:tcW w:type="dxa" w:w="420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
            </w:r>
          </w:p>
        </w:tc>
        <w:tc>
          <w:tcPr>
            <w:tcW w:type="dxa" w:w="196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Year 1</w:t>
            </w:r>
          </w:p>
        </w:tc>
        <w:tc>
          <w:tcPr>
            <w:tcW w:type="dxa" w:w="196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Year 2</w:t>
            </w:r>
          </w:p>
        </w:tc>
        <w:tc>
          <w:tcPr>
            <w:tcW w:type="dxa" w:w="196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Year 3</w:t>
            </w:r>
          </w:p>
        </w:tc>
      </w:tr>
      <w:tr>
        <w:tc>
          <w:tcPr>
            <w:tcW w:type="dxa" w:w="4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Paying surgeons (avg)</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4 late-year</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45</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140</w:t>
            </w:r>
          </w:p>
        </w:tc>
      </w:tr>
      <w:tr>
        <w:tc>
          <w:tcPr>
            <w:tcW w:type="dxa" w:w="4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Subscription</w:t>
            </w:r>
          </w:p>
        </w:tc>
        <w:tc>
          <w:tcPr>
            <w:tcW w:type="dxa" w:w="196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$15k</w:t>
            </w:r>
          </w:p>
        </w:tc>
        <w:tc>
          <w:tcPr>
            <w:tcW w:type="dxa" w:w="196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$300k</w:t>
            </w:r>
          </w:p>
        </w:tc>
        <w:tc>
          <w:tcPr>
            <w:tcW w:type="dxa" w:w="196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$980k</w:t>
            </w:r>
          </w:p>
        </w:tc>
      </w:tr>
      <w:tr>
        <w:tc>
          <w:tcPr>
            <w:tcW w:type="dxa" w:w="4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Implementation</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$20k</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$90k</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$160k</w:t>
            </w:r>
          </w:p>
        </w:tc>
      </w:tr>
      <w:tr>
        <w:tc>
          <w:tcPr>
            <w:tcW w:type="dxa" w:w="4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Patient door, net of credits</w:t>
            </w:r>
          </w:p>
        </w:tc>
        <w:tc>
          <w:tcPr>
            <w:tcW w:type="dxa" w:w="196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$5k</w:t>
            </w:r>
          </w:p>
        </w:tc>
        <w:tc>
          <w:tcPr>
            <w:tcW w:type="dxa" w:w="196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$40k</w:t>
            </w:r>
          </w:p>
        </w:tc>
        <w:tc>
          <w:tcPr>
            <w:tcW w:type="dxa" w:w="196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$90k</w:t>
            </w:r>
          </w:p>
        </w:tc>
      </w:tr>
      <w:tr>
        <w:tc>
          <w:tcPr>
            <w:tcW w:type="dxa" w:w="4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Total revenue</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$40k</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$430k</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$1.23M</w:t>
            </w:r>
          </w:p>
        </w:tc>
      </w:tr>
      <w:tr>
        <w:tc>
          <w:tcPr>
            <w:tcW w:type="dxa" w:w="4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COGS + delivery (cloud, ASR, per-surgeon maint)</w:t>
            </w:r>
          </w:p>
        </w:tc>
        <w:tc>
          <w:tcPr>
            <w:tcW w:type="dxa" w:w="196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$35k</w:t>
            </w:r>
          </w:p>
        </w:tc>
        <w:tc>
          <w:tcPr>
            <w:tcW w:type="dxa" w:w="196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$140k</w:t>
            </w:r>
          </w:p>
        </w:tc>
        <w:tc>
          <w:tcPr>
            <w:tcW w:type="dxa" w:w="196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$280k</w:t>
            </w:r>
          </w:p>
        </w:tc>
      </w:tr>
      <w:tr>
        <w:tc>
          <w:tcPr>
            <w:tcW w:type="dxa" w:w="4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Company opex (entity, legal/IP, insurance, Apple, tools, 1 hire Y2)</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$140k</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$260k</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$420k</w:t>
            </w:r>
          </w:p>
        </w:tc>
      </w:tr>
      <w:tr>
        <w:tc>
          <w:tcPr>
            <w:tcW w:type="dxa" w:w="4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Profit / (loss)</w:t>
            </w:r>
          </w:p>
        </w:tc>
        <w:tc>
          <w:tcPr>
            <w:tcW w:type="dxa" w:w="196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($135k)</w:t>
            </w:r>
          </w:p>
        </w:tc>
        <w:tc>
          <w:tcPr>
            <w:tcW w:type="dxa" w:w="196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$30k</w:t>
            </w:r>
          </w:p>
        </w:tc>
        <w:tc>
          <w:tcPr>
            <w:tcW w:type="dxa" w:w="196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$530k</w:t>
            </w:r>
          </w:p>
        </w:tc>
      </w:tr>
    </w:tbl>
    <w:p>
      <w:pPr>
        <w:spacing w:after="160" w:before="140" w:line="276"/>
      </w:pPr>
      <w:r>
        <w:rPr>
          <w:rFonts w:ascii="Arial" w:cs="Arial" w:eastAsia="Arial" w:hAnsi="Arial"/>
          <w:color w:val="2C3338"/>
          <w:sz w:val="22"/>
          <w:szCs w:val="22"/>
        </w:rPr>
        <w:t xml:space="preserve">How we get here: co-inventor holdout passes. A few partners pay in H2 Y1. Y2 is still founder-heavy. Y3 works only if maintenance per surgeon actually falls and we do not hire a 15-person team.</w:t>
      </w:r>
    </w:p>
    <w:p>
      <w:pPr>
        <w:pStyle w:val="Heading2"/>
        <w:spacing w:after="120" w:before="280"/>
      </w:pPr>
      <w:r>
        <w:rPr>
          <w:rFonts w:ascii="Arial" w:cs="Arial" w:eastAsia="Arial" w:hAnsi="Arial"/>
          <w:b/>
          <w:bCs/>
          <w:color w:val="0F5C6B"/>
          <w:sz w:val="24"/>
          <w:szCs w:val="24"/>
        </w:rPr>
        <w:t xml:space="preserve">Optimistic</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00"/>
        <w:gridCol w:w="1960"/>
        <w:gridCol w:w="1960"/>
        <w:gridCol w:w="1960"/>
      </w:tblGrid>
      <w:tr>
        <w:tc>
          <w:tcPr>
            <w:tcW w:type="dxa" w:w="420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
            </w:r>
          </w:p>
        </w:tc>
        <w:tc>
          <w:tcPr>
            <w:tcW w:type="dxa" w:w="196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Year 1</w:t>
            </w:r>
          </w:p>
        </w:tc>
        <w:tc>
          <w:tcPr>
            <w:tcW w:type="dxa" w:w="196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Year 2</w:t>
            </w:r>
          </w:p>
        </w:tc>
        <w:tc>
          <w:tcPr>
            <w:tcW w:type="dxa" w:w="196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Year 3</w:t>
            </w:r>
          </w:p>
        </w:tc>
      </w:tr>
      <w:tr>
        <w:tc>
          <w:tcPr>
            <w:tcW w:type="dxa" w:w="4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Paying surgeons (avg)</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18</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90</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260</w:t>
            </w:r>
          </w:p>
        </w:tc>
      </w:tr>
      <w:tr>
        <w:tc>
          <w:tcPr>
            <w:tcW w:type="dxa" w:w="4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Subscription</w:t>
            </w:r>
          </w:p>
        </w:tc>
        <w:tc>
          <w:tcPr>
            <w:tcW w:type="dxa" w:w="196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$90k</w:t>
            </w:r>
          </w:p>
        </w:tc>
        <w:tc>
          <w:tcPr>
            <w:tcW w:type="dxa" w:w="196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$650k</w:t>
            </w:r>
          </w:p>
        </w:tc>
        <w:tc>
          <w:tcPr>
            <w:tcW w:type="dxa" w:w="196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$1.90M</w:t>
            </w:r>
          </w:p>
        </w:tc>
      </w:tr>
      <w:tr>
        <w:tc>
          <w:tcPr>
            <w:tcW w:type="dxa" w:w="4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Implementation</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$60k</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$160k</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$280k</w:t>
            </w:r>
          </w:p>
        </w:tc>
      </w:tr>
      <w:tr>
        <w:tc>
          <w:tcPr>
            <w:tcW w:type="dxa" w:w="4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Patient door, net of credits</w:t>
            </w:r>
          </w:p>
        </w:tc>
        <w:tc>
          <w:tcPr>
            <w:tcW w:type="dxa" w:w="196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$25k</w:t>
            </w:r>
          </w:p>
        </w:tc>
        <w:tc>
          <w:tcPr>
            <w:tcW w:type="dxa" w:w="196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$90k</w:t>
            </w:r>
          </w:p>
        </w:tc>
        <w:tc>
          <w:tcPr>
            <w:tcW w:type="dxa" w:w="196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$180k</w:t>
            </w:r>
          </w:p>
        </w:tc>
      </w:tr>
      <w:tr>
        <w:tc>
          <w:tcPr>
            <w:tcW w:type="dxa" w:w="4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Group / system</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$0</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$80k</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$350k</w:t>
            </w:r>
          </w:p>
        </w:tc>
      </w:tr>
      <w:tr>
        <w:tc>
          <w:tcPr>
            <w:tcW w:type="dxa" w:w="4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Total revenue</w:t>
            </w:r>
          </w:p>
        </w:tc>
        <w:tc>
          <w:tcPr>
            <w:tcW w:type="dxa" w:w="196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$175k</w:t>
            </w:r>
          </w:p>
        </w:tc>
        <w:tc>
          <w:tcPr>
            <w:tcW w:type="dxa" w:w="196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$980k</w:t>
            </w:r>
          </w:p>
        </w:tc>
        <w:tc>
          <w:tcPr>
            <w:tcW w:type="dxa" w:w="196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$2.71M</w:t>
            </w:r>
          </w:p>
        </w:tc>
      </w:tr>
      <w:tr>
        <w:tc>
          <w:tcPr>
            <w:tcW w:type="dxa" w:w="4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COGS + delivery</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$55k</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$220k</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$520k</w:t>
            </w:r>
          </w:p>
        </w:tc>
      </w:tr>
      <w:tr>
        <w:tc>
          <w:tcPr>
            <w:tcW w:type="dxa" w:w="4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Company opex</w:t>
            </w:r>
          </w:p>
        </w:tc>
        <w:tc>
          <w:tcPr>
            <w:tcW w:type="dxa" w:w="196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$160k</w:t>
            </w:r>
          </w:p>
        </w:tc>
        <w:tc>
          <w:tcPr>
            <w:tcW w:type="dxa" w:w="196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$320k</w:t>
            </w:r>
          </w:p>
        </w:tc>
        <w:tc>
          <w:tcPr>
            <w:tcW w:type="dxa" w:w="196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$700k</w:t>
            </w:r>
          </w:p>
        </w:tc>
      </w:tr>
      <w:tr>
        <w:tc>
          <w:tcPr>
            <w:tcW w:type="dxa" w:w="4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Profit / (loss)</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($40k)</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$440k</w:t>
            </w:r>
          </w:p>
        </w:tc>
        <w:tc>
          <w:tcPr>
            <w:tcW w:type="dxa" w:w="196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$1.49M</w:t>
            </w:r>
          </w:p>
        </w:tc>
      </w:tr>
    </w:tbl>
    <w:p>
      <w:pPr>
        <w:spacing w:after="160" w:before="140" w:line="276"/>
      </w:pPr>
      <w:r>
        <w:rPr>
          <w:rFonts w:ascii="Arial" w:cs="Arial" w:eastAsia="Arial" w:hAnsi="Arial"/>
          <w:color w:val="2C3338"/>
          <w:sz w:val="22"/>
          <w:szCs w:val="22"/>
        </w:rPr>
        <w:t xml:space="preserve">How we get here: the filter is visibly emptying clinic. A group buys. We still spend real money on delivery — optimistic is not “no costs.”</w:t>
      </w:r>
    </w:p>
    <w:p>
      <w:pPr>
        <w:pStyle w:val="Heading2"/>
        <w:spacing w:after="120" w:before="280"/>
      </w:pPr>
      <w:r>
        <w:rPr>
          <w:rFonts w:ascii="Arial" w:cs="Arial" w:eastAsia="Arial" w:hAnsi="Arial"/>
          <w:b/>
          <w:bCs/>
          <w:color w:val="0F5C6B"/>
          <w:sz w:val="24"/>
          <w:szCs w:val="24"/>
        </w:rPr>
        <w:t xml:space="preserve">Read the numbers this way</w:t>
      </w:r>
    </w:p>
    <w:p>
      <w:pPr>
        <w:pStyle w:val="ListParagraph"/>
        <w:numPr>
          <w:ilvl w:val="0"/>
          <w:numId w:val="2"/>
        </w:numPr>
        <w:spacing w:after="80" w:line="260"/>
      </w:pPr>
      <w:r>
        <w:rPr>
          <w:rFonts w:ascii="Arial" w:cs="Arial" w:eastAsia="Arial" w:hAnsi="Arial"/>
          <w:color w:val="2C3338"/>
          <w:sz w:val="21"/>
          <w:szCs w:val="21"/>
        </w:rPr>
        <w:t xml:space="preserve">Year 1 is a loss in every honest case. That loss is entity, IP, first twins, and proving holdout — not vanity burn.</w:t>
      </w:r>
    </w:p>
    <w:p>
      <w:pPr>
        <w:pStyle w:val="ListParagraph"/>
        <w:numPr>
          <w:ilvl w:val="0"/>
          <w:numId w:val="2"/>
        </w:numPr>
        <w:spacing w:after="80" w:line="260"/>
      </w:pPr>
      <w:r>
        <w:rPr>
          <w:rFonts w:ascii="Arial" w:cs="Arial" w:eastAsia="Arial" w:hAnsi="Arial"/>
          <w:color w:val="2C3338"/>
          <w:sz w:val="21"/>
          <w:szCs w:val="21"/>
        </w:rPr>
        <w:t xml:space="preserve">Expected year 2 is roughly break-even, not a venture-scale outcome.</w:t>
      </w:r>
    </w:p>
    <w:p>
      <w:pPr>
        <w:pStyle w:val="ListParagraph"/>
        <w:numPr>
          <w:ilvl w:val="0"/>
          <w:numId w:val="2"/>
        </w:numPr>
        <w:spacing w:after="80" w:line="260"/>
      </w:pPr>
      <w:r>
        <w:rPr>
          <w:rFonts w:ascii="Arial" w:cs="Arial" w:eastAsia="Arial" w:hAnsi="Arial"/>
          <w:color w:val="2C3338"/>
          <w:sz w:val="21"/>
          <w:szCs w:val="21"/>
        </w:rPr>
        <w:t xml:space="preserve">If maintenance stays at $250/surgeon/month forever, expected year 3 profit is cut roughly in half. That is the sensitivity that matters.</w:t>
      </w:r>
    </w:p>
    <w:p>
      <w:pPr>
        <w:pStyle w:val="ListParagraph"/>
        <w:numPr>
          <w:ilvl w:val="0"/>
          <w:numId w:val="2"/>
        </w:numPr>
        <w:spacing w:after="80" w:line="260"/>
      </w:pPr>
      <w:r>
        <w:rPr>
          <w:rFonts w:ascii="Arial" w:cs="Arial" w:eastAsia="Arial" w:hAnsi="Arial"/>
          <w:color w:val="2C3338"/>
          <w:sz w:val="21"/>
          <w:szCs w:val="21"/>
        </w:rPr>
        <w:t xml:space="preserve">Do not raise on the optimistic column.</w:t>
      </w:r>
    </w:p>
    <w:p>
      <w:pPr>
        <w:pStyle w:val="Heading1"/>
        <w:pBdr>
          <w:bottom w:val="single" w:color="0F5C6B" w:sz="12" w:space="6"/>
        </w:pBdr>
        <w:spacing w:after="160" w:before="360"/>
      </w:pPr>
      <w:r>
        <w:rPr>
          <w:rFonts w:ascii="Arial" w:cs="Arial" w:eastAsia="Arial" w:hAnsi="Arial"/>
          <w:b/>
          <w:bCs/>
          <w:color w:val="1B365D"/>
          <w:sz w:val="28"/>
          <w:szCs w:val="28"/>
        </w:rPr>
        <w:t xml:space="preserve">15. Regulatory and legal box</w:t>
      </w:r>
    </w:p>
    <w:p>
      <w:pPr>
        <w:pStyle w:val="ListParagraph"/>
        <w:numPr>
          <w:ilvl w:val="0"/>
          <w:numId w:val="2"/>
        </w:numPr>
        <w:spacing w:after="80" w:line="260"/>
      </w:pPr>
      <w:r>
        <w:rPr>
          <w:rFonts w:ascii="Arial" w:cs="Arial" w:eastAsia="Arial" w:hAnsi="Arial"/>
          <w:color w:val="2C3338"/>
          <w:sz w:val="21"/>
          <w:szCs w:val="21"/>
        </w:rPr>
        <w:t xml:space="preserve">Diagnostic-grade output, surgeon still signs. Software is not the doctor.</w:t>
      </w:r>
    </w:p>
    <w:p>
      <w:pPr>
        <w:pStyle w:val="ListParagraph"/>
        <w:numPr>
          <w:ilvl w:val="0"/>
          <w:numId w:val="2"/>
        </w:numPr>
        <w:spacing w:after="80" w:line="260"/>
      </w:pPr>
      <w:r>
        <w:rPr>
          <w:rFonts w:ascii="Arial" w:cs="Arial" w:eastAsia="Arial" w:hAnsi="Arial"/>
          <w:color w:val="2C3338"/>
          <w:sz w:val="21"/>
          <w:szCs w:val="21"/>
        </w:rPr>
        <w:t xml:space="preserve">Patient $9–19 output is labeled not a diagnosis and not a visit.</w:t>
      </w:r>
    </w:p>
    <w:p>
      <w:pPr>
        <w:pStyle w:val="ListParagraph"/>
        <w:numPr>
          <w:ilvl w:val="0"/>
          <w:numId w:val="2"/>
        </w:numPr>
        <w:spacing w:after="80" w:line="260"/>
      </w:pPr>
      <w:r>
        <w:rPr>
          <w:rFonts w:ascii="Arial" w:cs="Arial" w:eastAsia="Arial" w:hAnsi="Arial"/>
          <w:color w:val="2C3338"/>
          <w:sz w:val="21"/>
          <w:szCs w:val="21"/>
        </w:rPr>
        <w:t xml:space="preserve">Production: SaMD path (likely Class II / CAD-style), frozen base model, per-surgeon examples as attested configuration.</w:t>
      </w:r>
    </w:p>
    <w:p>
      <w:pPr>
        <w:pStyle w:val="ListParagraph"/>
        <w:numPr>
          <w:ilvl w:val="0"/>
          <w:numId w:val="2"/>
        </w:numPr>
        <w:spacing w:after="80" w:line="260"/>
      </w:pPr>
      <w:r>
        <w:rPr>
          <w:rFonts w:ascii="Arial" w:cs="Arial" w:eastAsia="Arial" w:hAnsi="Arial"/>
          <w:color w:val="2C3338"/>
          <w:sz w:val="21"/>
          <w:szCs w:val="21"/>
        </w:rPr>
        <w:t xml:space="preserve">BAA on every vendor that will touch real PHI. Consumer Grok/ChatGPT is not production.</w:t>
      </w:r>
    </w:p>
    <w:p>
      <w:pPr>
        <w:spacing w:after="160" w:before="0" w:line="276"/>
      </w:pPr>
      <w:r>
        <w:rPr>
          <w:rFonts w:ascii="Arial" w:cs="Arial" w:eastAsia="Arial" w:hAnsi="Arial"/>
          <w:color w:val="2C3338"/>
          <w:sz w:val="22"/>
          <w:szCs w:val="22"/>
        </w:rPr>
        <w:t xml:space="preserve">This is a plan, not a 510(k). Timing starts after holdout, not before.</w:t>
      </w:r>
    </w:p>
    <w:p>
      <w:pPr>
        <w:pStyle w:val="Heading1"/>
        <w:pBdr>
          <w:bottom w:val="single" w:color="0F5C6B" w:sz="12" w:space="6"/>
        </w:pBdr>
        <w:spacing w:after="160" w:before="360"/>
      </w:pPr>
      <w:r>
        <w:rPr>
          <w:rFonts w:ascii="Arial" w:cs="Arial" w:eastAsia="Arial" w:hAnsi="Arial"/>
          <w:b/>
          <w:bCs/>
          <w:color w:val="1B365D"/>
          <w:sz w:val="28"/>
          <w:szCs w:val="28"/>
        </w:rPr>
        <w:t xml:space="preserve">16. Roadmap</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800"/>
        <w:gridCol w:w="4680"/>
        <w:gridCol w:w="3600"/>
      </w:tblGrid>
      <w:tr>
        <w:tc>
          <w:tcPr>
            <w:tcW w:type="dxa" w:w="180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Stage</w:t>
            </w:r>
          </w:p>
        </w:tc>
        <w:tc>
          <w:tcPr>
            <w:tcW w:type="dxa" w:w="468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What ships</w:t>
            </w:r>
          </w:p>
        </w:tc>
        <w:tc>
          <w:tcPr>
            <w:tcW w:type="dxa" w:w="360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Success</w:t>
            </w:r>
          </w:p>
        </w:tc>
      </w:tr>
      <w:tr>
        <w:tc>
          <w:tcPr>
            <w:tcW w:type="dxa" w:w="18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Now</w:t>
            </w:r>
          </w:p>
        </w:tc>
        <w:tc>
          <w:tcPr>
            <w:tcW w:type="dxa" w:w="46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Entity + IP assignment + domain + spec + sandbox</w:t>
            </w:r>
          </w:p>
        </w:tc>
        <w:tc>
          <w:tcPr>
            <w:tcW w:type="dxa" w:w="36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Loop works on stripped notes</w:t>
            </w:r>
          </w:p>
        </w:tc>
      </w:tr>
      <w:tr>
        <w:tc>
          <w:tcPr>
            <w:tcW w:type="dxa" w:w="18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Pilot</w:t>
            </w:r>
          </w:p>
        </w:tc>
        <w:tc>
          <w:tcPr>
            <w:tcW w:type="dxa" w:w="46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One surgeon twin, 20-note holdout</w:t>
            </w:r>
          </w:p>
        </w:tc>
        <w:tc>
          <w:tcPr>
            <w:tcW w:type="dxa" w:w="36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Surgeon says the draft is their call</w:t>
            </w:r>
          </w:p>
        </w:tc>
      </w:tr>
      <w:tr>
        <w:tc>
          <w:tcPr>
            <w:tcW w:type="dxa" w:w="18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V1 paid</w:t>
            </w:r>
          </w:p>
        </w:tc>
        <w:tc>
          <w:tcPr>
            <w:tcW w:type="dxa" w:w="46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Surgeon SaaS + $9–19 door + visit credit</w:t>
            </w:r>
          </w:p>
        </w:tc>
        <w:tc>
          <w:tcPr>
            <w:tcW w:type="dxa" w:w="36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Non-op visits leave the calendar</w:t>
            </w:r>
          </w:p>
        </w:tc>
      </w:tr>
      <w:tr>
        <w:tc>
          <w:tcPr>
            <w:tcW w:type="dxa" w:w="18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V1.5</w:t>
            </w:r>
          </w:p>
        </w:tc>
        <w:tc>
          <w:tcPr>
            <w:tcW w:type="dxa" w:w="46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Sign in with Apple, HealthKit intake, post-op filter</w:t>
            </w:r>
          </w:p>
        </w:tc>
        <w:tc>
          <w:tcPr>
            <w:tcW w:type="dxa" w:w="36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Better input, second time-sink falls</w:t>
            </w:r>
          </w:p>
        </w:tc>
      </w:tr>
      <w:tr>
        <w:tc>
          <w:tcPr>
            <w:tcW w:type="dxa" w:w="18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V2</w:t>
            </w:r>
          </w:p>
        </w:tc>
        <w:tc>
          <w:tcPr>
            <w:tcW w:type="dxa" w:w="46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LoRA twin, missed-surgery audit, prior-auth packet</w:t>
            </w:r>
          </w:p>
        </w:tc>
        <w:tc>
          <w:tcPr>
            <w:tcW w:type="dxa" w:w="36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Systems will take a meeting</w:t>
            </w:r>
          </w:p>
        </w:tc>
      </w:tr>
      <w:tr>
        <w:tc>
          <w:tcPr>
            <w:tcW w:type="dxa" w:w="18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V3</w:t>
            </w:r>
          </w:p>
        </w:tc>
        <w:tc>
          <w:tcPr>
            <w:tcW w:type="dxa" w:w="46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BAA production, FHIR, group routing, non-op network</w:t>
            </w:r>
          </w:p>
        </w:tc>
        <w:tc>
          <w:tcPr>
            <w:tcW w:type="dxa" w:w="36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IDN contract</w:t>
            </w:r>
          </w:p>
        </w:tc>
      </w:tr>
    </w:tbl>
    <w:p>
      <w:pPr>
        <w:pStyle w:val="Heading1"/>
        <w:pBdr>
          <w:bottom w:val="single" w:color="0F5C6B" w:sz="12" w:space="6"/>
        </w:pBdr>
        <w:spacing w:after="160" w:before="360"/>
      </w:pPr>
      <w:r>
        <w:rPr>
          <w:rFonts w:ascii="Arial" w:cs="Arial" w:eastAsia="Arial" w:hAnsi="Arial"/>
          <w:b/>
          <w:bCs/>
          <w:color w:val="1B365D"/>
          <w:sz w:val="28"/>
          <w:szCs w:val="28"/>
        </w:rPr>
        <w:t xml:space="preserve">17. Team</w:t>
      </w:r>
    </w:p>
    <w:p>
      <w:pPr>
        <w:spacing w:after="160" w:before="0" w:line="276"/>
      </w:pPr>
      <w:r>
        <w:rPr>
          <w:rFonts w:ascii="Arial" w:hAnsi="Arial" w:eastAsia="Arial"/>
          <w:i w:val="0"/>
          <w:color w:val="2C3338"/>
          <w:sz w:val="22"/>
        </w:rPr>
        <w:t>Co-founders and co-inventors: BPD is CEO and surgeon lead (first corpus, holdout, clinical threshold, what the twin is allowed to say). HRS is CTO (stack, agents, serverless build, security). The first twin is BPD’s notes. HRS owns delivery. One CEO signs and decides. Build capacity is serverless cloud plus coding agents. That does not remove implementation or maintenance cost — it only removes a large application-engineering payroll at the start.</w:t>
      </w:r>
    </w:p>
    <w:p>
      <w:pPr>
        <w:spacing w:before="280" w:after="160"/>
      </w:pPr>
      <w:r>
        <w:rPr>
          <w:rFonts w:ascii="Arial" w:hAnsi="Arial" w:eastAsia="Arial"/>
          <w:b/>
          <w:color w:val="0F5C6B"/>
          <w:sz w:val="24"/>
        </w:rPr>
        <w:t>Founder and operating decisions</w:t>
      </w:r>
    </w:p>
    <w:p>
      <w:pPr>
        <w:spacing w:before="160" w:after="160"/>
      </w:pPr>
      <w:r>
        <w:rPr>
          <w:rFonts w:ascii="Arial" w:hAnsi="Arial" w:eastAsia="Arial"/>
          <w:b w:val="0"/>
          <w:color w:val="2C3338"/>
          <w:sz w:val="22"/>
        </w:rPr>
        <w:t>Equity will be split; vesting still to be discussed. If one founder leaves, the other retains full control of the company. Put that in the founder agreement as a drag / remaining-founder vote, not a handshake.</w:t>
      </w:r>
    </w:p>
    <w:p>
      <w:pPr>
        <w:spacing w:before="160" w:after="160"/>
      </w:pPr>
      <w:r>
        <w:rPr>
          <w:rFonts w:ascii="Arial" w:hAnsi="Arial" w:eastAsia="Arial"/>
          <w:b w:val="0"/>
          <w:color w:val="2C3338"/>
          <w:sz w:val="22"/>
        </w:rPr>
        <w:t>Content: the dictations, attested calls, and the resulting twin are the surgeon’s content. The company gets a license to operate that twin. If the surgeon leaves a group, the corpus goes with the surgeon, not the group.</w:t>
      </w:r>
    </w:p>
    <w:p>
      <w:pPr>
        <w:spacing w:before="160" w:after="160"/>
      </w:pPr>
      <w:r>
        <w:rPr>
          <w:rFonts w:ascii="Arial" w:hAnsi="Arial" w:eastAsia="Arial"/>
          <w:b w:val="0"/>
          <w:color w:val="2C3338"/>
          <w:sz w:val="22"/>
        </w:rPr>
        <w:t>Holdout rule (recommended language): “Before any paid use, freeze 20 attested cases the twin has never seen. The twin must (1) miss zero cases the surgeon marked surgical or unclear, and (2) match the surgeon’s operate-versus-not call on at least 16 of 20. Booking a non-operative case is not a fail. Sending a surgical case down a non-op path is an automatic fail. Re-run after any material prompt or corpus change.”</w:t>
      </w:r>
    </w:p>
    <w:p>
      <w:pPr>
        <w:spacing w:before="160" w:after="160"/>
      </w:pPr>
      <w:r>
        <w:rPr>
          <w:rFonts w:ascii="Arial" w:hAnsi="Arial" w:eastAsia="Arial"/>
          <w:b w:val="0"/>
          <w:color w:val="2C3338"/>
          <w:sz w:val="22"/>
        </w:rPr>
        <w:t>Unsure / book: route to that surgeon and their staff. The twin does not close those cases.</w:t>
      </w:r>
    </w:p>
    <w:p>
      <w:pPr>
        <w:spacing w:before="160" w:after="160"/>
      </w:pPr>
      <w:r>
        <w:rPr>
          <w:rFonts w:ascii="Arial" w:hAnsi="Arial" w:eastAsia="Arial"/>
          <w:b w:val="0"/>
          <w:color w:val="2C3338"/>
          <w:sz w:val="22"/>
        </w:rPr>
        <w:t>Liability: the signed clinical call is the surgeon’s. Company risk sits on the unsigned patient door and on software defects (mixed corpora, dropped laterality, overclaiming “this is a diagnosis”). Keep the $9–19 page labeled access/triage, not a visit.</w:t>
      </w:r>
    </w:p>
    <w:p>
      <w:pPr>
        <w:spacing w:before="160" w:after="160"/>
      </w:pPr>
      <w:r>
        <w:rPr>
          <w:rFonts w:ascii="Arial" w:hAnsi="Arial" w:eastAsia="Arial"/>
          <w:b w:val="0"/>
          <w:color w:val="2C3338"/>
          <w:sz w:val="22"/>
        </w:rPr>
        <w:t>Legal approach (recommended): form a two-member entity now. Delaware C-Corp if a raise is likely in 12 months; otherwise an LLC in the founders’ state with an operating agreement that already says remaining-founder control. Same week: IP assignment from both founders into the entity; surgeon content license (surgeon owns, company operates); no-train clause on vendors. File a U.S. provisional on the attested-twin + operate-versus-not + sign loop before any public demo. Funding is pending — do not wait on a round to form the entity or assign IP.</w:t>
      </w:r>
    </w:p>
    <w:p>
      <w:pPr>
        <w:spacing w:before="160" w:after="160"/>
      </w:pPr>
      <w:r>
        <w:rPr>
          <w:rFonts w:ascii="Arial" w:hAnsi="Arial" w:eastAsia="Arial"/>
          <w:b w:val="0"/>
          <w:color w:val="2C3338"/>
          <w:sz w:val="22"/>
        </w:rPr>
        <w:t>Domain remains dictat-or.com until changed.</w:t>
      </w:r>
    </w:p>
    <w:p>
      <w:pPr>
        <w:pStyle w:val="Heading1"/>
        <w:pBdr>
          <w:bottom w:val="single" w:color="0F5C6B" w:sz="12" w:space="6"/>
        </w:pBdr>
        <w:spacing w:after="160" w:before="360"/>
      </w:pPr>
      <w:r>
        <w:rPr>
          <w:rFonts w:ascii="Arial" w:cs="Arial" w:eastAsia="Arial" w:hAnsi="Arial"/>
          <w:b/>
          <w:bCs/>
          <w:color w:val="1B365D"/>
          <w:sz w:val="28"/>
          <w:szCs w:val="28"/>
        </w:rPr>
        <w:t xml:space="preserve">18. Risks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200"/>
        <w:gridCol w:w="3600"/>
        <w:gridCol w:w="4280"/>
      </w:tblGrid>
      <w:tr>
        <w:tc>
          <w:tcPr>
            <w:tcW w:type="dxa" w:w="220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Risk</w:t>
            </w:r>
          </w:p>
        </w:tc>
        <w:tc>
          <w:tcPr>
            <w:tcW w:type="dxa" w:w="360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Why it kills</w:t>
            </w:r>
          </w:p>
        </w:tc>
        <w:tc>
          <w:tcPr>
            <w:tcW w:type="dxa" w:w="428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Counter</w:t>
            </w:r>
          </w:p>
        </w:tc>
      </w:tr>
      <w:tr>
        <w:tc>
          <w:tcPr>
            <w:tcW w:type="dxa" w:w="2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Under-triage</w:t>
            </w:r>
          </w:p>
        </w:tc>
        <w:tc>
          <w:tcPr>
            <w:tcW w:type="dxa" w:w="36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A real surgical case sent home</w:t>
            </w:r>
          </w:p>
        </w:tc>
        <w:tc>
          <w:tcPr>
            <w:tcW w:type="dxa" w:w="42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Book when unsure. Missed-surgery audit from day one.</w:t>
            </w:r>
          </w:p>
        </w:tc>
      </w:tr>
      <w:tr>
        <w:tc>
          <w:tcPr>
            <w:tcW w:type="dxa" w:w="2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Impl / maint ignored</w:t>
            </w:r>
          </w:p>
        </w:tc>
        <w:tc>
          <w:tcPr>
            <w:tcW w:type="dxa" w:w="36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We price like a chatbot and die on delivery</w:t>
            </w:r>
          </w:p>
        </w:tc>
        <w:tc>
          <w:tcPr>
            <w:tcW w:type="dxa" w:w="42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Cost twins at $8–15k. Budget $150–250/surgeon/mo early.</w:t>
            </w:r>
          </w:p>
        </w:tc>
      </w:tr>
      <w:tr>
        <w:tc>
          <w:tcPr>
            <w:tcW w:type="dxa" w:w="2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Looks like a scribe</w:t>
            </w:r>
          </w:p>
        </w:tc>
        <w:tc>
          <w:tcPr>
            <w:tcW w:type="dxa" w:w="36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Commodity price</w:t>
            </w:r>
          </w:p>
        </w:tc>
        <w:tc>
          <w:tcPr>
            <w:tcW w:type="dxa" w:w="42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Never sell notes. Sell who gets a slot.</w:t>
            </w:r>
          </w:p>
        </w:tc>
      </w:tr>
      <w:tr>
        <w:tc>
          <w:tcPr>
            <w:tcW w:type="dxa" w:w="2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$19 as a diagnosis</w:t>
            </w:r>
          </w:p>
        </w:tc>
        <w:tc>
          <w:tcPr>
            <w:tcW w:type="dxa" w:w="36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Board, FDA, malpractice</w:t>
            </w:r>
          </w:p>
        </w:tc>
        <w:tc>
          <w:tcPr>
            <w:tcW w:type="dxa" w:w="42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Credit to a visit. Label as triage.</w:t>
            </w:r>
          </w:p>
        </w:tc>
      </w:tr>
      <w:tr>
        <w:tc>
          <w:tcPr>
            <w:tcW w:type="dxa" w:w="2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IP sitting with inventors</w:t>
            </w:r>
          </w:p>
        </w:tc>
        <w:tc>
          <w:tcPr>
            <w:tcW w:type="dxa" w:w="36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Unfundable company</w:t>
            </w:r>
          </w:p>
        </w:tc>
        <w:tc>
          <w:tcPr>
            <w:tcW w:type="dxa" w:w="42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Assign into the entity before any raise.</w:t>
            </w:r>
          </w:p>
        </w:tc>
      </w:tr>
      <w:tr>
        <w:tc>
          <w:tcPr>
            <w:tcW w:type="dxa" w:w="2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Public demo before provisional</w:t>
            </w:r>
          </w:p>
        </w:tc>
        <w:tc>
          <w:tcPr>
            <w:tcW w:type="dxa" w:w="36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We burn patent novelty</w:t>
            </w:r>
          </w:p>
        </w:tc>
        <w:tc>
          <w:tcPr>
            <w:tcW w:type="dxa" w:w="42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File or stay quiet.</w:t>
            </w:r>
          </w:p>
        </w:tc>
      </w:tr>
      <w:tr>
        <w:tc>
          <w:tcPr>
            <w:tcW w:type="dxa" w:w="2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PHI in pilot</w:t>
            </w:r>
          </w:p>
        </w:tc>
        <w:tc>
          <w:tcPr>
            <w:tcW w:type="dxa" w:w="36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Trust gone</w:t>
            </w:r>
          </w:p>
        </w:tc>
        <w:tc>
          <w:tcPr>
            <w:tcW w:type="dxa" w:w="42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De-identify first. BAA before identifiers.</w:t>
            </w:r>
          </w:p>
        </w:tc>
      </w:tr>
      <w:tr>
        <w:tc>
          <w:tcPr>
            <w:tcW w:type="dxa" w:w="2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Apple-only</w:t>
            </w:r>
          </w:p>
        </w:tc>
        <w:tc>
          <w:tcPr>
            <w:tcW w:type="dxa" w:w="36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Half the patients</w:t>
            </w:r>
          </w:p>
        </w:tc>
        <w:tc>
          <w:tcPr>
            <w:tcW w:type="dxa" w:w="42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Web + Android still required.</w:t>
            </w:r>
          </w:p>
        </w:tc>
      </w:tr>
    </w:tbl>
    <w:p>
      <w:pPr>
        <w:pStyle w:val="Heading1"/>
        <w:pBdr>
          <w:bottom w:val="single" w:color="0F5C6B" w:sz="12" w:space="6"/>
        </w:pBdr>
        <w:spacing w:after="160" w:before="360"/>
      </w:pPr>
      <w:r>
        <w:rPr>
          <w:rFonts w:ascii="Arial" w:cs="Arial" w:eastAsia="Arial" w:hAnsi="Arial"/>
          <w:b/>
          <w:bCs/>
          <w:color w:val="1B365D"/>
          <w:sz w:val="28"/>
          <w:szCs w:val="28"/>
        </w:rPr>
        <w:t xml:space="preserve">19. Next actions</w:t>
      </w:r>
    </w:p>
    <w:p>
      <w:pPr>
        <w:pStyle w:val="ListParagraph"/>
        <w:numPr>
          <w:ilvl w:val="0"/>
          <w:numId w:val="2"/>
        </w:numPr>
        <w:spacing w:after="80" w:line="260"/>
      </w:pPr>
      <w:r>
        <w:rPr>
          <w:rFonts w:ascii="Arial" w:cs="Arial" w:eastAsia="Arial" w:hAnsi="Arial"/>
          <w:color w:val="2C3338"/>
          <w:sz w:val="21"/>
          <w:szCs w:val="21"/>
        </w:rPr>
        <w:t xml:space="preserve">Form the entity. Sign founder/IP assignment. Vesting.</w:t>
      </w:r>
    </w:p>
    <w:p>
      <w:pPr>
        <w:pStyle w:val="ListParagraph"/>
        <w:numPr>
          <w:ilvl w:val="0"/>
          <w:numId w:val="2"/>
        </w:numPr>
        <w:spacing w:after="80" w:line="260"/>
      </w:pPr>
      <w:r>
        <w:rPr>
          <w:rFonts w:ascii="Arial" w:cs="Arial" w:eastAsia="Arial" w:hAnsi="Arial"/>
          <w:color w:val="2C3338"/>
          <w:sz w:val="21"/>
          <w:szCs w:val="21"/>
        </w:rPr>
        <w:t xml:space="preserve">Buy dictat-or.com. Trademark search on DictatOR.</w:t>
      </w:r>
    </w:p>
    <w:p>
      <w:pPr>
        <w:pStyle w:val="ListParagraph"/>
        <w:numPr>
          <w:ilvl w:val="0"/>
          <w:numId w:val="2"/>
        </w:numPr>
        <w:spacing w:after="80" w:line="260"/>
      </w:pPr>
      <w:r>
        <w:rPr>
          <w:rFonts w:ascii="Arial" w:cs="Arial" w:eastAsia="Arial" w:hAnsi="Arial"/>
          <w:color w:val="2C3338"/>
          <w:sz w:val="21"/>
          <w:szCs w:val="21"/>
        </w:rPr>
        <w:t xml:space="preserve">Talk to counsel about a provisional on the attested-twin + operate-versus-not + sign loop.</w:t>
      </w:r>
    </w:p>
    <w:p>
      <w:pPr>
        <w:pStyle w:val="ListParagraph"/>
        <w:numPr>
          <w:ilvl w:val="0"/>
          <w:numId w:val="2"/>
        </w:numPr>
        <w:spacing w:after="80" w:line="260"/>
      </w:pPr>
      <w:r>
        <w:rPr>
          <w:rFonts w:ascii="Arial" w:cs="Arial" w:eastAsia="Arial" w:hAnsi="Arial"/>
          <w:color w:val="2C3338"/>
          <w:sz w:val="21"/>
          <w:szCs w:val="21"/>
        </w:rPr>
        <w:t xml:space="preserve">Repo spec: teach → propose → speak → sign, always surgeon_id.</w:t>
      </w:r>
    </w:p>
    <w:p>
      <w:pPr>
        <w:pStyle w:val="ListParagraph"/>
        <w:numPr>
          <w:ilvl w:val="0"/>
          <w:numId w:val="2"/>
        </w:numPr>
        <w:spacing w:after="80" w:line="260"/>
      </w:pPr>
      <w:r>
        <w:rPr>
          <w:rFonts w:ascii="Arial" w:cs="Arial" w:eastAsia="Arial" w:hAnsi="Arial"/>
          <w:color w:val="2C3338"/>
          <w:sz w:val="21"/>
          <w:szCs w:val="21"/>
        </w:rPr>
        <w:t xml:space="preserve">Strip a first BPD/HRS batch. Agent-build the sandbox.</w:t>
      </w:r>
    </w:p>
    <w:p>
      <w:pPr>
        <w:pStyle w:val="ListParagraph"/>
        <w:numPr>
          <w:ilvl w:val="0"/>
          <w:numId w:val="2"/>
        </w:numPr>
        <w:spacing w:after="80" w:line="260"/>
      </w:pPr>
      <w:r>
        <w:rPr>
          <w:rFonts w:ascii="Arial" w:cs="Arial" w:eastAsia="Arial" w:hAnsi="Arial"/>
          <w:color w:val="2C3338"/>
          <w:sz w:val="21"/>
          <w:szCs w:val="21"/>
        </w:rPr>
        <w:t xml:space="preserve">20-note holdout. No billing until it passes.</w:t>
      </w:r>
    </w:p>
    <w:p>
      <w:pPr>
        <w:pStyle w:val="ListParagraph"/>
        <w:numPr>
          <w:ilvl w:val="0"/>
          <w:numId w:val="2"/>
        </w:numPr>
        <w:spacing w:after="80" w:line="260"/>
      </w:pPr>
      <w:r>
        <w:rPr>
          <w:rFonts w:ascii="Arial" w:cs="Arial" w:eastAsia="Arial" w:hAnsi="Arial"/>
          <w:color w:val="2C3338"/>
          <w:sz w:val="21"/>
          <w:szCs w:val="21"/>
        </w:rPr>
        <w:t xml:space="preserve">Only then: paid plan, $9–19 door, visit credit, Apple ID.</w:t>
      </w:r>
    </w:p>
    <w:p>
      <w:pPr>
        <w:pStyle w:val="Heading1"/>
        <w:pBdr>
          <w:bottom w:val="single" w:color="0F5C6B" w:sz="12" w:space="6"/>
        </w:pBdr>
        <w:spacing w:after="160" w:before="360"/>
      </w:pPr>
      <w:r>
        <w:rPr>
          <w:rFonts w:ascii="Arial" w:cs="Arial" w:eastAsia="Arial" w:hAnsi="Arial"/>
          <w:b/>
          <w:bCs/>
          <w:color w:val="1B365D"/>
          <w:sz w:val="28"/>
          <w:szCs w:val="28"/>
        </w:rPr>
        <w:t xml:space="preserve">20. Summary</w:t>
      </w:r>
    </w:p>
    <w:p>
      <w:pPr>
        <w:spacing w:after="160" w:before="0" w:line="276"/>
      </w:pPr>
      <w:r>
        <w:rPr>
          <w:rFonts w:ascii="Arial" w:cs="Arial" w:eastAsia="Arial" w:hAnsi="Arial"/>
          <w:color w:val="2C3338"/>
          <w:sz w:val="22"/>
          <w:szCs w:val="22"/>
        </w:rPr>
        <w:t xml:space="preserve">DictatOR is a personalized orthopedic diagnostic twin trained on a surgeon’s own dictations. Its first job is to keep non-operative patients out of clinic. Patients pay $9–19 to skip the line and get that fee back if they keep a visit. Surgeons pay for the twin because they get time and the lead. Apple ID and Health are how the patient door gets real input — not how we get paid. Implementation and maintenance are first-class costs. Inventors put IP in an entity before anyone else owns a piece of it.</w:t>
      </w:r>
    </w:p>
    <w:p>
      <w:pPr>
        <w:spacing w:after="160" w:before="0" w:line="276"/>
      </w:pPr>
      <w:r>
        <w:rPr>
          <w:rFonts w:ascii="Arial" w:hAnsi="Arial" w:eastAsia="Arial"/>
          <w:i/>
          <w:color w:val="5C6770"/>
          <w:sz w:val="22"/>
        </w:rPr>
        <w:t>Working name and domain: DictatOR, dictat-or.com. Co-founders: BPD (CEO), HRS (CTO).</w:t>
      </w:r>
    </w:p>
    <w:p>
      <w:pPr>
        <w:pStyle w:val="Heading1"/>
        <w:pBdr>
          <w:bottom w:val="single" w:color="0F5C6B" w:sz="12" w:space="6"/>
        </w:pBdr>
        <w:spacing w:after="160" w:before="360"/>
      </w:pPr>
      <w:r>
        <w:rPr>
          <w:rFonts w:ascii="Arial" w:cs="Arial" w:eastAsia="Arial" w:hAnsi="Arial"/>
          <w:b/>
          <w:bCs/>
          <w:color w:val="1B365D"/>
          <w:sz w:val="28"/>
          <w:szCs w:val="28"/>
        </w:rPr>
        <w:t xml:space="preserve">21. Acronym legend</w:t>
      </w:r>
    </w:p>
    <w:p>
      <w:pPr>
        <w:spacing w:after="160" w:before="0" w:line="276"/>
      </w:pPr>
      <w:r>
        <w:rPr>
          <w:rFonts w:ascii="Arial" w:cs="Arial" w:eastAsia="Arial" w:hAnsi="Arial"/>
          <w:color w:val="2C3338"/>
          <w:sz w:val="22"/>
          <w:szCs w:val="22"/>
        </w:rPr>
        <w:t xml:space="preserve">Terms used in this plan.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200"/>
        <w:gridCol w:w="7880"/>
      </w:tblGrid>
      <w:tr>
        <w:tc>
          <w:tcPr>
            <w:tcW w:type="dxa" w:w="220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Term</w:t>
            </w:r>
          </w:p>
        </w:tc>
        <w:tc>
          <w:tcPr>
            <w:tcW w:type="dxa" w:w="7880"/>
            <w:tcBorders>
              <w:top w:val="single" w:color="C5CDD4" w:sz="4"/>
              <w:left w:val="single" w:color="C5CDD4" w:sz="4"/>
              <w:bottom w:val="single" w:color="C5CDD4" w:sz="4"/>
              <w:right w:val="single" w:color="C5CDD4" w:sz="4"/>
            </w:tcBorders>
            <w:shd w:fill="1B365D" w:val="clear"/>
            <w:tcMar>
              <w:top w:type="dxa" w:w="70"/>
              <w:left w:type="dxa" w:w="90"/>
              <w:bottom w:type="dxa" w:w="70"/>
              <w:right w:type="dxa" w:w="90"/>
            </w:tcMar>
            <w:vAlign w:val="center"/>
          </w:tcPr>
          <w:p>
            <w:r>
              <w:rPr>
                <w:rFonts w:ascii="Arial" w:cs="Arial" w:eastAsia="Arial" w:hAnsi="Arial"/>
                <w:b/>
                <w:bCs/>
                <w:color w:val="FFFFFF"/>
                <w:sz w:val="17"/>
                <w:szCs w:val="17"/>
              </w:rPr>
              <w:t xml:space="preserve">Meaning</w:t>
            </w:r>
          </w:p>
        </w:tc>
      </w:tr>
      <w:tr>
        <w:tc>
          <w:tcPr>
            <w:tcW w:type="dxa" w:w="2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AI</w:t>
            </w:r>
          </w:p>
        </w:tc>
        <w:tc>
          <w:tcPr>
            <w:tcW w:type="dxa" w:w="78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Artificial intelligence</w:t>
            </w:r>
          </w:p>
        </w:tc>
      </w:tr>
      <w:tr>
        <w:tc>
          <w:tcPr>
            <w:tcW w:type="dxa" w:w="2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ASR</w:t>
            </w:r>
          </w:p>
        </w:tc>
        <w:tc>
          <w:tcPr>
            <w:tcW w:type="dxa" w:w="78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Automatic speech recognition (speech-to-text)</w:t>
            </w:r>
          </w:p>
        </w:tc>
      </w:tr>
      <w:tr>
        <w:tc>
          <w:tcPr>
            <w:tcW w:type="dxa" w:w="2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AWS</w:t>
            </w:r>
          </w:p>
        </w:tc>
        <w:tc>
          <w:tcPr>
            <w:tcW w:type="dxa" w:w="78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Amazon Web Services</w:t>
            </w:r>
          </w:p>
        </w:tc>
      </w:tr>
      <w:tr>
        <w:tc>
          <w:tcPr>
            <w:tcW w:type="dxa" w:w="2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BAA</w:t>
            </w:r>
          </w:p>
        </w:tc>
        <w:tc>
          <w:tcPr>
            <w:tcW w:type="dxa" w:w="78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Business Associate Agreement (HIPAA contract with a vendor that handles PHI)</w:t>
            </w:r>
          </w:p>
        </w:tc>
      </w:tr>
      <w:tr>
        <w:tc>
          <w:tcPr>
            <w:tcW w:type="dxa" w:w="2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BPD / HRS</w:t>
            </w:r>
          </w:p>
        </w:tc>
        <w:tc>
          <w:tcPr>
            <w:tcW w:type="dxa" w:w="78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hAnsi="Arial"/>
                <w:sz w:val="18"/>
              </w:rPr>
              <w:t>Co-founders and co-inventors. BPD = CEO and surgeon lead. HRS = CTO.</w:t>
            </w:r>
          </w:p>
        </w:tc>
      </w:tr>
      <w:tr>
        <w:tc>
          <w:tcPr>
            <w:tcW w:type="dxa" w:w="2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C-Corp</w:t>
            </w:r>
          </w:p>
        </w:tc>
        <w:tc>
          <w:tcPr>
            <w:tcW w:type="dxa" w:w="78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Delaware corporation (typical entity if raising from funds)</w:t>
            </w:r>
          </w:p>
        </w:tc>
      </w:tr>
      <w:tr>
        <w:tc>
          <w:tcPr>
            <w:tcW w:type="dxa" w:w="2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CAD</w:t>
            </w:r>
          </w:p>
        </w:tc>
        <w:tc>
          <w:tcPr>
            <w:tcW w:type="dxa" w:w="78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Computer-aided detection / diagnosis (FDA device category)</w:t>
            </w:r>
          </w:p>
        </w:tc>
      </w:tr>
      <w:tr>
        <w:tc>
          <w:tcPr>
            <w:tcW w:type="dxa" w:w="2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COGS</w:t>
            </w:r>
          </w:p>
        </w:tc>
        <w:tc>
          <w:tcPr>
            <w:tcW w:type="dxa" w:w="78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Cost of goods sold (cloud, ASR, inference tied to usage)</w:t>
            </w:r>
          </w:p>
        </w:tc>
      </w:tr>
      <w:tr>
        <w:tc>
          <w:tcPr>
            <w:tcW w:type="dxa" w:w="2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CRUD</w:t>
            </w:r>
          </w:p>
        </w:tc>
        <w:tc>
          <w:tcPr>
            <w:tcW w:type="dxa" w:w="78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Create, read, update, delete — basic application plumbing</w:t>
            </w:r>
          </w:p>
        </w:tc>
      </w:tr>
      <w:tr>
        <w:tc>
          <w:tcPr>
            <w:tcW w:type="dxa" w:w="2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DictatOR</w:t>
            </w:r>
          </w:p>
        </w:tc>
        <w:tc>
          <w:tcPr>
            <w:tcW w:type="dxa" w:w="78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Working product name: dictation + operating room</w:t>
            </w:r>
          </w:p>
        </w:tc>
      </w:tr>
      <w:tr>
        <w:tc>
          <w:tcPr>
            <w:tcW w:type="dxa" w:w="2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Dx</w:t>
            </w:r>
          </w:p>
        </w:tc>
        <w:tc>
          <w:tcPr>
            <w:tcW w:type="dxa" w:w="78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Diagnosis</w:t>
            </w:r>
          </w:p>
        </w:tc>
      </w:tr>
      <w:tr>
        <w:tc>
          <w:tcPr>
            <w:tcW w:type="dxa" w:w="2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EHR</w:t>
            </w:r>
          </w:p>
        </w:tc>
        <w:tc>
          <w:tcPr>
            <w:tcW w:type="dxa" w:w="78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Electronic health record</w:t>
            </w:r>
          </w:p>
        </w:tc>
      </w:tr>
      <w:tr>
        <w:tc>
          <w:tcPr>
            <w:tcW w:type="dxa" w:w="2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FDA</w:t>
            </w:r>
          </w:p>
        </w:tc>
        <w:tc>
          <w:tcPr>
            <w:tcW w:type="dxa" w:w="78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U.S. Food and Drug Administration</w:t>
            </w:r>
          </w:p>
        </w:tc>
      </w:tr>
      <w:tr>
        <w:tc>
          <w:tcPr>
            <w:tcW w:type="dxa" w:w="2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FHIR</w:t>
            </w:r>
          </w:p>
        </w:tc>
        <w:tc>
          <w:tcPr>
            <w:tcW w:type="dxa" w:w="78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Fast Healthcare Interoperability Resources (EHR data standard)</w:t>
            </w:r>
          </w:p>
        </w:tc>
      </w:tr>
      <w:tr>
        <w:tc>
          <w:tcPr>
            <w:tcW w:type="dxa" w:w="2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HealthKit</w:t>
            </w:r>
          </w:p>
        </w:tc>
        <w:tc>
          <w:tcPr>
            <w:tcW w:type="dxa" w:w="78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Apple framework for consented iPhone health data</w:t>
            </w:r>
          </w:p>
        </w:tc>
      </w:tr>
      <w:tr>
        <w:tc>
          <w:tcPr>
            <w:tcW w:type="dxa" w:w="2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HIPAA</w:t>
            </w:r>
          </w:p>
        </w:tc>
        <w:tc>
          <w:tcPr>
            <w:tcW w:type="dxa" w:w="78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Health Insurance Portability and Accountability Act (U.S. patient-data law)</w:t>
            </w:r>
          </w:p>
        </w:tc>
      </w:tr>
      <w:tr>
        <w:tc>
          <w:tcPr>
            <w:tcW w:type="dxa" w:w="2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IDN</w:t>
            </w:r>
          </w:p>
        </w:tc>
        <w:tc>
          <w:tcPr>
            <w:tcW w:type="dxa" w:w="78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Integrated delivery network (hospital system)</w:t>
            </w:r>
          </w:p>
        </w:tc>
      </w:tr>
      <w:tr>
        <w:tc>
          <w:tcPr>
            <w:tcW w:type="dxa" w:w="2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IP</w:t>
            </w:r>
          </w:p>
        </w:tc>
        <w:tc>
          <w:tcPr>
            <w:tcW w:type="dxa" w:w="78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Intellectual property</w:t>
            </w:r>
          </w:p>
        </w:tc>
      </w:tr>
      <w:tr>
        <w:tc>
          <w:tcPr>
            <w:tcW w:type="dxa" w:w="2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LLC</w:t>
            </w:r>
          </w:p>
        </w:tc>
        <w:tc>
          <w:tcPr>
            <w:tcW w:type="dxa" w:w="78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Limited liability company</w:t>
            </w:r>
          </w:p>
        </w:tc>
      </w:tr>
      <w:tr>
        <w:tc>
          <w:tcPr>
            <w:tcW w:type="dxa" w:w="2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LLM</w:t>
            </w:r>
          </w:p>
        </w:tc>
        <w:tc>
          <w:tcPr>
            <w:tcW w:type="dxa" w:w="78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Large language model</w:t>
            </w:r>
          </w:p>
        </w:tc>
      </w:tr>
      <w:tr>
        <w:tc>
          <w:tcPr>
            <w:tcW w:type="dxa" w:w="2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LoRA</w:t>
            </w:r>
          </w:p>
        </w:tc>
        <w:tc>
          <w:tcPr>
            <w:tcW w:type="dxa" w:w="78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Low-Rank Adaptation (small per-surgeon model adapter)</w:t>
            </w:r>
          </w:p>
        </w:tc>
      </w:tr>
      <w:tr>
        <w:tc>
          <w:tcPr>
            <w:tcW w:type="dxa" w:w="2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OA</w:t>
            </w:r>
          </w:p>
        </w:tc>
        <w:tc>
          <w:tcPr>
            <w:tcW w:type="dxa" w:w="78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Osteoarthritis</w:t>
            </w:r>
          </w:p>
        </w:tc>
      </w:tr>
      <w:tr>
        <w:tc>
          <w:tcPr>
            <w:tcW w:type="dxa" w:w="2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OR</w:t>
            </w:r>
          </w:p>
        </w:tc>
        <w:tc>
          <w:tcPr>
            <w:tcW w:type="dxa" w:w="78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Operating room</w:t>
            </w:r>
          </w:p>
        </w:tc>
      </w:tr>
      <w:tr>
        <w:tc>
          <w:tcPr>
            <w:tcW w:type="dxa" w:w="2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PA</w:t>
            </w:r>
          </w:p>
        </w:tc>
        <w:tc>
          <w:tcPr>
            <w:tcW w:type="dxa" w:w="78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Physician assistant</w:t>
            </w:r>
          </w:p>
        </w:tc>
      </w:tr>
      <w:tr>
        <w:tc>
          <w:tcPr>
            <w:tcW w:type="dxa" w:w="2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PCP</w:t>
            </w:r>
          </w:p>
        </w:tc>
        <w:tc>
          <w:tcPr>
            <w:tcW w:type="dxa" w:w="78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Primary care physician</w:t>
            </w:r>
          </w:p>
        </w:tc>
      </w:tr>
      <w:tr>
        <w:tc>
          <w:tcPr>
            <w:tcW w:type="dxa" w:w="2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PHI</w:t>
            </w:r>
          </w:p>
        </w:tc>
        <w:tc>
          <w:tcPr>
            <w:tcW w:type="dxa" w:w="78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Protected health information</w:t>
            </w:r>
          </w:p>
        </w:tc>
      </w:tr>
      <w:tr>
        <w:tc>
          <w:tcPr>
            <w:tcW w:type="dxa" w:w="2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PT</w:t>
            </w:r>
          </w:p>
        </w:tc>
        <w:tc>
          <w:tcPr>
            <w:tcW w:type="dxa" w:w="78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Physical therapy</w:t>
            </w:r>
          </w:p>
        </w:tc>
      </w:tr>
      <w:tr>
        <w:tc>
          <w:tcPr>
            <w:tcW w:type="dxa" w:w="2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RAG</w:t>
            </w:r>
          </w:p>
        </w:tc>
        <w:tc>
          <w:tcPr>
            <w:tcW w:type="dxa" w:w="78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Retrieval-augmented generation (answer grounded in retrieved notes)</w:t>
            </w:r>
          </w:p>
        </w:tc>
      </w:tr>
      <w:tr>
        <w:tc>
          <w:tcPr>
            <w:tcW w:type="dxa" w:w="2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RFP</w:t>
            </w:r>
          </w:p>
        </w:tc>
        <w:tc>
          <w:tcPr>
            <w:tcW w:type="dxa" w:w="78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Request for proposal</w:t>
            </w:r>
          </w:p>
        </w:tc>
      </w:tr>
      <w:tr>
        <w:tc>
          <w:tcPr>
            <w:tcW w:type="dxa" w:w="2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ROI</w:t>
            </w:r>
          </w:p>
        </w:tc>
        <w:tc>
          <w:tcPr>
            <w:tcW w:type="dxa" w:w="78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Return on investment</w:t>
            </w:r>
          </w:p>
        </w:tc>
      </w:tr>
      <w:tr>
        <w:tc>
          <w:tcPr>
            <w:tcW w:type="dxa" w:w="2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SaaS</w:t>
            </w:r>
          </w:p>
        </w:tc>
        <w:tc>
          <w:tcPr>
            <w:tcW w:type="dxa" w:w="78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Software as a service</w:t>
            </w:r>
          </w:p>
        </w:tc>
      </w:tr>
      <w:tr>
        <w:tc>
          <w:tcPr>
            <w:tcW w:type="dxa" w:w="220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SaMD</w:t>
            </w:r>
          </w:p>
        </w:tc>
        <w:tc>
          <w:tcPr>
            <w:tcW w:type="dxa" w:w="7880"/>
            <w:tcBorders>
              <w:top w:val="single" w:color="C5CDD4" w:sz="4"/>
              <w:left w:val="single" w:color="C5CDD4" w:sz="4"/>
              <w:bottom w:val="single" w:color="C5CDD4" w:sz="4"/>
              <w:right w:val="single" w:color="C5CDD4" w:sz="4"/>
            </w:tcBorders>
            <w:shd w:fill="F4F7F8"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Software as a medical device</w:t>
            </w:r>
          </w:p>
        </w:tc>
      </w:tr>
      <w:tr>
        <w:tc>
          <w:tcPr>
            <w:tcW w:type="dxa" w:w="220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TM</w:t>
            </w:r>
          </w:p>
        </w:tc>
        <w:tc>
          <w:tcPr>
            <w:tcW w:type="dxa" w:w="7880"/>
            <w:tcBorders>
              <w:top w:val="single" w:color="C5CDD4" w:sz="4"/>
              <w:left w:val="single" w:color="C5CDD4" w:sz="4"/>
              <w:bottom w:val="single" w:color="C5CDD4" w:sz="4"/>
              <w:right w:val="single" w:color="C5CDD4" w:sz="4"/>
            </w:tcBorders>
            <w:shd w:fill="FFFFFF" w:val="clear"/>
            <w:tcMar>
              <w:top w:type="dxa" w:w="70"/>
              <w:left w:type="dxa" w:w="90"/>
              <w:bottom w:type="dxa" w:w="70"/>
              <w:right w:type="dxa" w:w="90"/>
            </w:tcMar>
            <w:vAlign w:val="center"/>
          </w:tcPr>
          <w:p>
            <w:r>
              <w:rPr>
                <w:rFonts w:ascii="Arial" w:cs="Arial" w:eastAsia="Arial" w:hAnsi="Arial"/>
                <w:b w:val="false"/>
                <w:bCs w:val="false"/>
                <w:color w:val="2C3338"/>
                <w:sz w:val="17"/>
                <w:szCs w:val="17"/>
              </w:rPr>
              <w:t xml:space="preserve">Trademark</w:t>
            </w:r>
          </w:p>
        </w:tc>
      </w:tr>
    </w:tbl>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5CDD4" w:sz="6" w:space="8"/>
      </w:pBdr>
      <w:jc w:val="right"/>
    </w:pPr>
    <w:r>
      <w:rPr>
        <w:rFonts w:ascii="Arial" w:cs="Arial" w:eastAsia="Arial" w:hAnsi="Arial"/>
        <w:color w:val="5C6770"/>
        <w:sz w:val="16"/>
        <w:szCs w:val="16"/>
      </w:rPr>
      <w:t xml:space="preserve">dictat-or.com   ·   Page </w:t>
    </w:r>
    <w:r>
      <w:rPr>
        <w:rFonts w:ascii="Arial" w:cs="Arial" w:eastAsia="Arial" w:hAnsi="Arial"/>
        <w:color w:val="5C677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65D" w:sz="8" w:space="6"/>
      </w:pBdr>
      <w:spacing w:after="120"/>
    </w:pPr>
    <w:r>
      <w:rPr>
        <w:rFonts w:ascii="Arial" w:cs="Arial" w:eastAsia="Arial" w:hAnsi="Arial"/>
        <w:b/>
        <w:bCs/>
        <w:color w:val="1B365D"/>
        <w:sz w:val="16"/>
        <w:szCs w:val="16"/>
      </w:rPr>
      <w:t xml:space="preserve">DictatOR  </w:t>
    </w:r>
    <w:r>
      <w:rPr>
        <w:rFonts w:ascii="Arial" w:cs="Arial" w:eastAsia="Arial" w:hAnsi="Arial"/>
        <w:color w:val="5C6770"/>
        <w:sz w:val="16"/>
        <w:szCs w:val="16"/>
      </w:rPr>
      <w:t xml:space="preserve">Confidential  ·  Investor business plan  ·  September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1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1B365D"/>
      <w:sz w:val="28"/>
      <w:szCs w:val="28"/>
    </w:rPr>
  </w:style>
  <w:style w:type="paragraph" w:styleId="Heading2">
    <w:name w:val="Heading 2"/>
    <w:basedOn w:val="Normal"/>
    <w:next w:val="Normal"/>
    <w:qFormat/>
    <w:pPr>
      <w:spacing w:after="120" w:before="280"/>
      <w:outlineLvl w:val="1"/>
    </w:pPr>
    <w:rPr>
      <w:rFonts w:ascii="Arial" w:cs="Arial" w:eastAsia="Arial" w:hAnsi="Arial"/>
      <w:b/>
      <w:bCs/>
      <w:color w:val="0F5C6B"/>
      <w:sz w:val="24"/>
      <w:szCs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2026-09-12T03:34:33.531Z</dcterms:created>
  <dcterms:modified xsi:type="dcterms:W3CDTF">2026-09-12T03:34:33.532Z</dcterms:modified>
</cp:coreProperties>
</file>

<file path=docProps/custom.xml><?xml version="1.0" encoding="utf-8"?>
<Properties xmlns="http://schemas.openxmlformats.org/officeDocument/2006/custom-properties" xmlns:vt="http://schemas.openxmlformats.org/officeDocument/2006/docPropsVTypes"/>
</file>